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4454" w:type="dxa"/>
        <w:tblLook w:val="04A0" w:firstRow="1" w:lastRow="0" w:firstColumn="1" w:lastColumn="0" w:noHBand="0" w:noVBand="1"/>
      </w:tblPr>
      <w:tblGrid>
        <w:gridCol w:w="1092"/>
        <w:gridCol w:w="1805"/>
        <w:gridCol w:w="5036"/>
        <w:gridCol w:w="1748"/>
        <w:gridCol w:w="4773"/>
      </w:tblGrid>
      <w:tr w:rsidR="00D36720" w:rsidRPr="00387056" w14:paraId="29B3BC01" w14:textId="77777777" w:rsidTr="000E7C4C">
        <w:trPr>
          <w:trHeight w:val="552"/>
        </w:trPr>
        <w:tc>
          <w:tcPr>
            <w:tcW w:w="1092" w:type="dxa"/>
            <w:shd w:val="clear" w:color="auto" w:fill="00A984"/>
          </w:tcPr>
          <w:p w14:paraId="0FCD1AC0" w14:textId="77777777" w:rsidR="00D36720" w:rsidRPr="00387056" w:rsidRDefault="00D36720" w:rsidP="000E7C4C">
            <w:pPr>
              <w:rPr>
                <w:b/>
                <w:bCs/>
                <w:color w:val="FFFFFF" w:themeColor="background1"/>
              </w:rPr>
            </w:pPr>
          </w:p>
        </w:tc>
        <w:tc>
          <w:tcPr>
            <w:tcW w:w="6841" w:type="dxa"/>
            <w:gridSpan w:val="2"/>
            <w:shd w:val="clear" w:color="auto" w:fill="00A984"/>
            <w:vAlign w:val="center"/>
          </w:tcPr>
          <w:p w14:paraId="4A87F9D6" w14:textId="77777777" w:rsidR="00D36720" w:rsidRPr="00387056" w:rsidRDefault="00D36720" w:rsidP="000E7C4C">
            <w:pPr>
              <w:rPr>
                <w:b/>
                <w:bCs/>
                <w:color w:val="FFFFFF" w:themeColor="background1"/>
              </w:rPr>
            </w:pPr>
            <w:r w:rsidRPr="00387056">
              <w:rPr>
                <w:b/>
                <w:bCs/>
                <w:color w:val="FFFFFF" w:themeColor="background1"/>
              </w:rPr>
              <w:t>Veröffentlichung nach Art. 29 Regulation</w:t>
            </w:r>
          </w:p>
          <w:p w14:paraId="5D886886" w14:textId="77777777" w:rsidR="00D36720" w:rsidRPr="00387056" w:rsidRDefault="00D36720" w:rsidP="000E7C4C">
            <w:pPr>
              <w:rPr>
                <w:b/>
                <w:bCs/>
                <w:color w:val="FFFFFF" w:themeColor="background1"/>
              </w:rPr>
            </w:pPr>
            <w:r w:rsidRPr="00387056">
              <w:rPr>
                <w:b/>
                <w:bCs/>
                <w:color w:val="FFFFFF" w:themeColor="background1"/>
              </w:rPr>
              <w:t>(EU) 2017/460 (NC Tariffs)</w:t>
            </w:r>
          </w:p>
        </w:tc>
        <w:tc>
          <w:tcPr>
            <w:tcW w:w="6521" w:type="dxa"/>
            <w:gridSpan w:val="2"/>
            <w:shd w:val="clear" w:color="auto" w:fill="00A984"/>
            <w:vAlign w:val="center"/>
          </w:tcPr>
          <w:p w14:paraId="551EB817" w14:textId="77777777" w:rsidR="00D36720" w:rsidRPr="00387056" w:rsidRDefault="00D36720" w:rsidP="000E7C4C">
            <w:pPr>
              <w:rPr>
                <w:b/>
                <w:bCs/>
                <w:color w:val="FFFFFF" w:themeColor="background1"/>
                <w:lang w:val="en-GB"/>
              </w:rPr>
            </w:pPr>
            <w:r w:rsidRPr="00387056">
              <w:rPr>
                <w:b/>
                <w:bCs/>
                <w:color w:val="FFFFFF" w:themeColor="background1"/>
                <w:lang w:val="en-GB"/>
              </w:rPr>
              <w:t>Publication according to Art. 29 Regulation</w:t>
            </w:r>
          </w:p>
          <w:p w14:paraId="16893B46" w14:textId="77777777" w:rsidR="00D36720" w:rsidRPr="00387056" w:rsidRDefault="00D36720" w:rsidP="000E7C4C">
            <w:pPr>
              <w:rPr>
                <w:b/>
                <w:bCs/>
                <w:color w:val="FFFFFF" w:themeColor="background1"/>
                <w:lang w:val="en-GB"/>
              </w:rPr>
            </w:pPr>
            <w:r w:rsidRPr="00387056">
              <w:rPr>
                <w:b/>
                <w:bCs/>
                <w:color w:val="FFFFFF" w:themeColor="background1"/>
                <w:lang w:val="en-GB"/>
              </w:rPr>
              <w:t>(EU) 2017/460 (NC Tariffs)</w:t>
            </w:r>
          </w:p>
        </w:tc>
      </w:tr>
      <w:tr w:rsidR="00D36720" w:rsidRPr="00586D24" w14:paraId="6F3D5F90" w14:textId="77777777" w:rsidTr="000E7C4C">
        <w:tc>
          <w:tcPr>
            <w:tcW w:w="1092" w:type="dxa"/>
            <w:shd w:val="clear" w:color="auto" w:fill="00A984"/>
          </w:tcPr>
          <w:p w14:paraId="6F404874" w14:textId="77777777" w:rsidR="00D36720" w:rsidRPr="00586D24" w:rsidRDefault="00D36720" w:rsidP="000E7C4C">
            <w:pPr>
              <w:rPr>
                <w:b/>
                <w:bCs/>
                <w:color w:val="FFFFFF" w:themeColor="background1"/>
              </w:rPr>
            </w:pPr>
            <w:r w:rsidRPr="00586D24">
              <w:rPr>
                <w:b/>
                <w:bCs/>
                <w:color w:val="FFFFFF" w:themeColor="background1"/>
              </w:rPr>
              <w:t>NC TAR</w:t>
            </w:r>
          </w:p>
        </w:tc>
        <w:tc>
          <w:tcPr>
            <w:tcW w:w="1805" w:type="dxa"/>
            <w:shd w:val="clear" w:color="auto" w:fill="00A984"/>
          </w:tcPr>
          <w:p w14:paraId="10287F08" w14:textId="77777777" w:rsidR="00D36720" w:rsidRPr="00586D24" w:rsidRDefault="00D36720" w:rsidP="000E7C4C">
            <w:pPr>
              <w:rPr>
                <w:b/>
                <w:bCs/>
                <w:color w:val="FFFFFF" w:themeColor="background1"/>
              </w:rPr>
            </w:pPr>
            <w:r w:rsidRPr="00586D24">
              <w:rPr>
                <w:b/>
                <w:bCs/>
                <w:color w:val="FFFFFF" w:themeColor="background1"/>
              </w:rPr>
              <w:t>Beschreibung</w:t>
            </w:r>
          </w:p>
        </w:tc>
        <w:tc>
          <w:tcPr>
            <w:tcW w:w="5036" w:type="dxa"/>
            <w:shd w:val="clear" w:color="auto" w:fill="00A984"/>
          </w:tcPr>
          <w:p w14:paraId="7C9E172A" w14:textId="77777777" w:rsidR="00D36720" w:rsidRPr="00586D24" w:rsidRDefault="00D36720" w:rsidP="000E7C4C">
            <w:pPr>
              <w:rPr>
                <w:b/>
                <w:bCs/>
                <w:color w:val="FFFFFF" w:themeColor="background1"/>
              </w:rPr>
            </w:pPr>
            <w:r w:rsidRPr="00586D24">
              <w:rPr>
                <w:b/>
                <w:bCs/>
                <w:color w:val="FFFFFF" w:themeColor="background1"/>
              </w:rPr>
              <w:t>Information/Link</w:t>
            </w:r>
          </w:p>
        </w:tc>
        <w:tc>
          <w:tcPr>
            <w:tcW w:w="1748" w:type="dxa"/>
            <w:shd w:val="clear" w:color="auto" w:fill="00A984"/>
          </w:tcPr>
          <w:p w14:paraId="57EBAE7A" w14:textId="77777777" w:rsidR="00D36720" w:rsidRPr="00586D24" w:rsidRDefault="00D36720" w:rsidP="000E7C4C">
            <w:pPr>
              <w:rPr>
                <w:b/>
                <w:bCs/>
                <w:color w:val="FFFFFF" w:themeColor="background1"/>
              </w:rPr>
            </w:pPr>
            <w:r w:rsidRPr="00586D24">
              <w:rPr>
                <w:b/>
                <w:bCs/>
                <w:color w:val="FFFFFF" w:themeColor="background1"/>
              </w:rPr>
              <w:t>Description</w:t>
            </w:r>
          </w:p>
        </w:tc>
        <w:tc>
          <w:tcPr>
            <w:tcW w:w="4773" w:type="dxa"/>
            <w:shd w:val="clear" w:color="auto" w:fill="00A984"/>
          </w:tcPr>
          <w:p w14:paraId="079160DB" w14:textId="77777777" w:rsidR="00D36720" w:rsidRPr="00586D24" w:rsidRDefault="00D36720" w:rsidP="000E7C4C">
            <w:pPr>
              <w:rPr>
                <w:b/>
                <w:bCs/>
                <w:color w:val="FFFFFF" w:themeColor="background1"/>
              </w:rPr>
            </w:pPr>
            <w:r w:rsidRPr="00586D24">
              <w:rPr>
                <w:b/>
                <w:bCs/>
                <w:color w:val="FFFFFF" w:themeColor="background1"/>
              </w:rPr>
              <w:t>Information/Link</w:t>
            </w:r>
          </w:p>
        </w:tc>
      </w:tr>
      <w:tr w:rsidR="00D36720" w:rsidRPr="000F6EE8" w14:paraId="62BA1DC4" w14:textId="77777777" w:rsidTr="00325818">
        <w:tc>
          <w:tcPr>
            <w:tcW w:w="1092" w:type="dxa"/>
            <w:shd w:val="clear" w:color="auto" w:fill="auto"/>
          </w:tcPr>
          <w:p w14:paraId="20880562" w14:textId="77777777" w:rsidR="00D36720" w:rsidRPr="00387056" w:rsidRDefault="00D36720" w:rsidP="000E7C4C">
            <w:pPr>
              <w:rPr>
                <w:color w:val="00A984"/>
                <w:sz w:val="20"/>
                <w:szCs w:val="20"/>
              </w:rPr>
            </w:pPr>
            <w:r w:rsidRPr="00387056">
              <w:rPr>
                <w:color w:val="00A984"/>
                <w:sz w:val="20"/>
                <w:szCs w:val="20"/>
              </w:rPr>
              <w:t>Art. 29 (a)</w:t>
            </w:r>
          </w:p>
        </w:tc>
        <w:tc>
          <w:tcPr>
            <w:tcW w:w="1805" w:type="dxa"/>
          </w:tcPr>
          <w:p w14:paraId="1D435400" w14:textId="77777777" w:rsidR="00D36720" w:rsidRPr="00586D24" w:rsidRDefault="00D36720" w:rsidP="000E7C4C">
            <w:pPr>
              <w:rPr>
                <w:sz w:val="20"/>
                <w:szCs w:val="20"/>
              </w:rPr>
            </w:pPr>
            <w:r w:rsidRPr="00586D24">
              <w:rPr>
                <w:sz w:val="20"/>
                <w:szCs w:val="20"/>
              </w:rPr>
              <w:t>Informationen zu festen Standardprodukten (Reservepreise, Multiplikatoren, Saisonale Faktoren, etc,)</w:t>
            </w:r>
          </w:p>
        </w:tc>
        <w:tc>
          <w:tcPr>
            <w:tcW w:w="5036" w:type="dxa"/>
          </w:tcPr>
          <w:p w14:paraId="3AFA3DD8" w14:textId="5DDCC181" w:rsidR="00D36720" w:rsidRPr="00586D24" w:rsidRDefault="003D070F" w:rsidP="000E7C4C">
            <w:pPr>
              <w:rPr>
                <w:sz w:val="20"/>
                <w:szCs w:val="20"/>
              </w:rPr>
            </w:pPr>
            <w:hyperlink r:id="rId11" w:history="1">
              <w:r>
                <w:rPr>
                  <w:rStyle w:val="Hyperlink"/>
                  <w:sz w:val="20"/>
                  <w:szCs w:val="20"/>
                </w:rPr>
                <w:t>Preisblatt 2025</w:t>
              </w:r>
            </w:hyperlink>
          </w:p>
          <w:p w14:paraId="2D236A00" w14:textId="77777777" w:rsidR="00D36720" w:rsidRPr="00586D24" w:rsidRDefault="00D36720" w:rsidP="000E7C4C">
            <w:pPr>
              <w:rPr>
                <w:sz w:val="20"/>
                <w:szCs w:val="20"/>
              </w:rPr>
            </w:pPr>
          </w:p>
          <w:p w14:paraId="42A6565F" w14:textId="0ADFFFD9" w:rsidR="00D36720" w:rsidRPr="00586D24" w:rsidRDefault="00D36720" w:rsidP="000E7C4C">
            <w:pPr>
              <w:rPr>
                <w:sz w:val="20"/>
                <w:szCs w:val="20"/>
              </w:rPr>
            </w:pPr>
            <w:r w:rsidRPr="00586D24">
              <w:rPr>
                <w:sz w:val="20"/>
                <w:szCs w:val="20"/>
              </w:rPr>
              <w:t>Zur Begründung für die Höhe der Multiplikatoren verweist GRTgaz Deutschland auf den Beschluss der Bundesnetzagentur BK9-</w:t>
            </w:r>
            <w:r>
              <w:rPr>
                <w:sz w:val="20"/>
                <w:szCs w:val="20"/>
              </w:rPr>
              <w:t>2</w:t>
            </w:r>
            <w:r w:rsidR="00384DFF">
              <w:rPr>
                <w:sz w:val="20"/>
                <w:szCs w:val="20"/>
              </w:rPr>
              <w:t>1</w:t>
            </w:r>
            <w:r w:rsidRPr="00586D24">
              <w:rPr>
                <w:sz w:val="20"/>
                <w:szCs w:val="20"/>
              </w:rPr>
              <w:t>/612 (</w:t>
            </w:r>
            <w:hyperlink r:id="rId12" w:history="1">
              <w:r w:rsidR="00032E91">
                <w:rPr>
                  <w:rStyle w:val="Hyperlink"/>
                  <w:sz w:val="20"/>
                  <w:szCs w:val="20"/>
                </w:rPr>
                <w:t>Festlegung „MARGIT 2025"</w:t>
              </w:r>
            </w:hyperlink>
            <w:r w:rsidRPr="00586D24">
              <w:rPr>
                <w:sz w:val="20"/>
                <w:szCs w:val="20"/>
              </w:rPr>
              <w:t>“).</w:t>
            </w:r>
          </w:p>
          <w:p w14:paraId="024C4239" w14:textId="77777777" w:rsidR="00D36720" w:rsidRPr="00586D24" w:rsidRDefault="00D36720" w:rsidP="000E7C4C">
            <w:pPr>
              <w:rPr>
                <w:sz w:val="20"/>
                <w:szCs w:val="20"/>
              </w:rPr>
            </w:pPr>
          </w:p>
          <w:tbl>
            <w:tblPr>
              <w:tblStyle w:val="Tabellenraster"/>
              <w:tblW w:w="0" w:type="auto"/>
              <w:tblLook w:val="04A0" w:firstRow="1" w:lastRow="0" w:firstColumn="1" w:lastColumn="0" w:noHBand="0" w:noVBand="1"/>
            </w:tblPr>
            <w:tblGrid>
              <w:gridCol w:w="3223"/>
              <w:gridCol w:w="1560"/>
            </w:tblGrid>
            <w:tr w:rsidR="00D36720" w:rsidRPr="00586D24" w14:paraId="239B774B" w14:textId="77777777" w:rsidTr="000E7C4C">
              <w:tc>
                <w:tcPr>
                  <w:tcW w:w="3223" w:type="dxa"/>
                </w:tcPr>
                <w:p w14:paraId="429531AA" w14:textId="77777777" w:rsidR="00D36720" w:rsidRPr="00A20C3C" w:rsidRDefault="00D36720" w:rsidP="000E7C4C">
                  <w:pPr>
                    <w:rPr>
                      <w:b/>
                      <w:bCs/>
                      <w:sz w:val="18"/>
                      <w:szCs w:val="18"/>
                    </w:rPr>
                  </w:pPr>
                  <w:r w:rsidRPr="00A20C3C">
                    <w:rPr>
                      <w:b/>
                      <w:bCs/>
                      <w:sz w:val="18"/>
                      <w:szCs w:val="18"/>
                    </w:rPr>
                    <w:t>Produkt</w:t>
                  </w:r>
                </w:p>
              </w:tc>
              <w:tc>
                <w:tcPr>
                  <w:tcW w:w="1560" w:type="dxa"/>
                </w:tcPr>
                <w:p w14:paraId="709F1FFF" w14:textId="77777777" w:rsidR="00D36720" w:rsidRPr="00A20C3C" w:rsidRDefault="00D36720" w:rsidP="000E7C4C">
                  <w:pPr>
                    <w:rPr>
                      <w:b/>
                      <w:bCs/>
                      <w:sz w:val="18"/>
                      <w:szCs w:val="18"/>
                    </w:rPr>
                  </w:pPr>
                  <w:r w:rsidRPr="00A20C3C">
                    <w:rPr>
                      <w:b/>
                      <w:bCs/>
                      <w:sz w:val="18"/>
                      <w:szCs w:val="18"/>
                    </w:rPr>
                    <w:t>Multiplikator</w:t>
                  </w:r>
                </w:p>
              </w:tc>
            </w:tr>
            <w:tr w:rsidR="00D36720" w:rsidRPr="00586D24" w14:paraId="7DBF57CB" w14:textId="77777777" w:rsidTr="000E7C4C">
              <w:tc>
                <w:tcPr>
                  <w:tcW w:w="3223" w:type="dxa"/>
                </w:tcPr>
                <w:p w14:paraId="1E3C4340" w14:textId="77777777" w:rsidR="00D36720" w:rsidRPr="00A20C3C" w:rsidRDefault="00D36720" w:rsidP="000E7C4C">
                  <w:pPr>
                    <w:rPr>
                      <w:sz w:val="18"/>
                      <w:szCs w:val="18"/>
                    </w:rPr>
                  </w:pPr>
                  <w:r w:rsidRPr="00A20C3C">
                    <w:rPr>
                      <w:sz w:val="18"/>
                      <w:szCs w:val="18"/>
                    </w:rPr>
                    <w:t>Untertägiges Produkt</w:t>
                  </w:r>
                </w:p>
              </w:tc>
              <w:tc>
                <w:tcPr>
                  <w:tcW w:w="1560" w:type="dxa"/>
                </w:tcPr>
                <w:p w14:paraId="08ECC146" w14:textId="77777777" w:rsidR="00D36720" w:rsidRPr="00A20C3C" w:rsidRDefault="00D36720" w:rsidP="000E7C4C">
                  <w:pPr>
                    <w:jc w:val="center"/>
                    <w:rPr>
                      <w:sz w:val="18"/>
                      <w:szCs w:val="18"/>
                    </w:rPr>
                  </w:pPr>
                  <w:r w:rsidRPr="00A20C3C">
                    <w:rPr>
                      <w:sz w:val="18"/>
                      <w:szCs w:val="18"/>
                    </w:rPr>
                    <w:t>2,0</w:t>
                  </w:r>
                </w:p>
              </w:tc>
            </w:tr>
            <w:tr w:rsidR="00D36720" w:rsidRPr="00586D24" w14:paraId="095E1BA4" w14:textId="77777777" w:rsidTr="000E7C4C">
              <w:tc>
                <w:tcPr>
                  <w:tcW w:w="3223" w:type="dxa"/>
                </w:tcPr>
                <w:p w14:paraId="3097FDE2" w14:textId="77777777" w:rsidR="00D36720" w:rsidRPr="00A20C3C" w:rsidRDefault="00D36720" w:rsidP="000E7C4C">
                  <w:pPr>
                    <w:rPr>
                      <w:sz w:val="18"/>
                      <w:szCs w:val="18"/>
                    </w:rPr>
                  </w:pPr>
                  <w:r w:rsidRPr="00A20C3C">
                    <w:rPr>
                      <w:sz w:val="18"/>
                      <w:szCs w:val="18"/>
                    </w:rPr>
                    <w:t>Tagesprodukt (Laufzeit 1</w:t>
                  </w:r>
                  <w:r>
                    <w:rPr>
                      <w:sz w:val="18"/>
                      <w:szCs w:val="18"/>
                    </w:rPr>
                    <w:t>-27</w:t>
                  </w:r>
                  <w:r w:rsidRPr="00A20C3C">
                    <w:rPr>
                      <w:sz w:val="18"/>
                      <w:szCs w:val="18"/>
                    </w:rPr>
                    <w:t xml:space="preserve"> Tag</w:t>
                  </w:r>
                  <w:r>
                    <w:rPr>
                      <w:sz w:val="18"/>
                      <w:szCs w:val="18"/>
                    </w:rPr>
                    <w:t>e</w:t>
                  </w:r>
                  <w:r w:rsidRPr="00A20C3C">
                    <w:rPr>
                      <w:sz w:val="18"/>
                      <w:szCs w:val="18"/>
                    </w:rPr>
                    <w:t>)</w:t>
                  </w:r>
                </w:p>
              </w:tc>
              <w:tc>
                <w:tcPr>
                  <w:tcW w:w="1560" w:type="dxa"/>
                </w:tcPr>
                <w:p w14:paraId="51F399BF" w14:textId="77777777" w:rsidR="00D36720" w:rsidRPr="00A20C3C" w:rsidRDefault="00D36720" w:rsidP="000E7C4C">
                  <w:pPr>
                    <w:jc w:val="center"/>
                    <w:rPr>
                      <w:sz w:val="18"/>
                      <w:szCs w:val="18"/>
                    </w:rPr>
                  </w:pPr>
                  <w:r w:rsidRPr="00A20C3C">
                    <w:rPr>
                      <w:sz w:val="18"/>
                      <w:szCs w:val="18"/>
                    </w:rPr>
                    <w:t>1,4</w:t>
                  </w:r>
                </w:p>
              </w:tc>
            </w:tr>
            <w:tr w:rsidR="00D36720" w:rsidRPr="00586D24" w14:paraId="404AE707" w14:textId="77777777" w:rsidTr="000E7C4C">
              <w:tc>
                <w:tcPr>
                  <w:tcW w:w="3223" w:type="dxa"/>
                </w:tcPr>
                <w:p w14:paraId="7A572197" w14:textId="77777777" w:rsidR="00D36720" w:rsidRPr="00A20C3C" w:rsidRDefault="00D36720" w:rsidP="000E7C4C">
                  <w:pPr>
                    <w:rPr>
                      <w:sz w:val="18"/>
                      <w:szCs w:val="18"/>
                    </w:rPr>
                  </w:pPr>
                  <w:r w:rsidRPr="00A20C3C">
                    <w:rPr>
                      <w:sz w:val="18"/>
                      <w:szCs w:val="18"/>
                    </w:rPr>
                    <w:t>Monatsprodukt (Laufzeit 28-</w:t>
                  </w:r>
                  <w:r>
                    <w:rPr>
                      <w:sz w:val="18"/>
                      <w:szCs w:val="18"/>
                    </w:rPr>
                    <w:t>89</w:t>
                  </w:r>
                  <w:r w:rsidRPr="00A20C3C">
                    <w:rPr>
                      <w:sz w:val="18"/>
                      <w:szCs w:val="18"/>
                    </w:rPr>
                    <w:t xml:space="preserve"> Tage)</w:t>
                  </w:r>
                </w:p>
              </w:tc>
              <w:tc>
                <w:tcPr>
                  <w:tcW w:w="1560" w:type="dxa"/>
                </w:tcPr>
                <w:p w14:paraId="7BB094D7" w14:textId="77777777" w:rsidR="00D36720" w:rsidRPr="00A20C3C" w:rsidRDefault="00D36720" w:rsidP="000E7C4C">
                  <w:pPr>
                    <w:jc w:val="center"/>
                    <w:rPr>
                      <w:sz w:val="18"/>
                      <w:szCs w:val="18"/>
                    </w:rPr>
                  </w:pPr>
                  <w:r w:rsidRPr="00A20C3C">
                    <w:rPr>
                      <w:sz w:val="18"/>
                      <w:szCs w:val="18"/>
                    </w:rPr>
                    <w:t>1,25</w:t>
                  </w:r>
                </w:p>
              </w:tc>
            </w:tr>
            <w:tr w:rsidR="00D36720" w:rsidRPr="00586D24" w14:paraId="1B7C5173" w14:textId="77777777" w:rsidTr="000E7C4C">
              <w:tc>
                <w:tcPr>
                  <w:tcW w:w="3223" w:type="dxa"/>
                </w:tcPr>
                <w:p w14:paraId="148DD92D" w14:textId="77777777" w:rsidR="00D36720" w:rsidRPr="00A20C3C" w:rsidRDefault="00D36720" w:rsidP="000E7C4C">
                  <w:pPr>
                    <w:rPr>
                      <w:sz w:val="18"/>
                      <w:szCs w:val="18"/>
                    </w:rPr>
                  </w:pPr>
                  <w:r>
                    <w:rPr>
                      <w:sz w:val="18"/>
                      <w:szCs w:val="18"/>
                    </w:rPr>
                    <w:t>Quartals</w:t>
                  </w:r>
                  <w:r w:rsidRPr="00A20C3C">
                    <w:rPr>
                      <w:sz w:val="18"/>
                      <w:szCs w:val="18"/>
                    </w:rPr>
                    <w:t xml:space="preserve">produkt (Laufzeit </w:t>
                  </w:r>
                  <w:r>
                    <w:rPr>
                      <w:sz w:val="18"/>
                      <w:szCs w:val="18"/>
                    </w:rPr>
                    <w:t>90</w:t>
                  </w:r>
                  <w:r w:rsidRPr="00A20C3C">
                    <w:rPr>
                      <w:sz w:val="18"/>
                      <w:szCs w:val="18"/>
                    </w:rPr>
                    <w:t>-</w:t>
                  </w:r>
                  <w:r>
                    <w:rPr>
                      <w:sz w:val="18"/>
                      <w:szCs w:val="18"/>
                    </w:rPr>
                    <w:t>364</w:t>
                  </w:r>
                  <w:r w:rsidRPr="00A20C3C">
                    <w:rPr>
                      <w:sz w:val="18"/>
                      <w:szCs w:val="18"/>
                    </w:rPr>
                    <w:t xml:space="preserve"> Tage)</w:t>
                  </w:r>
                </w:p>
              </w:tc>
              <w:tc>
                <w:tcPr>
                  <w:tcW w:w="1560" w:type="dxa"/>
                </w:tcPr>
                <w:p w14:paraId="20D160D3" w14:textId="77777777" w:rsidR="00D36720" w:rsidRPr="00A20C3C" w:rsidRDefault="00D36720" w:rsidP="000E7C4C">
                  <w:pPr>
                    <w:jc w:val="center"/>
                    <w:rPr>
                      <w:sz w:val="18"/>
                      <w:szCs w:val="18"/>
                    </w:rPr>
                  </w:pPr>
                  <w:r w:rsidRPr="00A20C3C">
                    <w:rPr>
                      <w:sz w:val="18"/>
                      <w:szCs w:val="18"/>
                    </w:rPr>
                    <w:t>1,1</w:t>
                  </w:r>
                </w:p>
              </w:tc>
            </w:tr>
          </w:tbl>
          <w:p w14:paraId="0B4D779B" w14:textId="77777777" w:rsidR="00D36720" w:rsidRDefault="00D36720" w:rsidP="000E7C4C">
            <w:pPr>
              <w:rPr>
                <w:sz w:val="20"/>
                <w:szCs w:val="20"/>
              </w:rPr>
            </w:pPr>
          </w:p>
          <w:p w14:paraId="2691F301" w14:textId="4080D037" w:rsidR="00D36720" w:rsidRPr="00586D24" w:rsidRDefault="00D36720" w:rsidP="000E7C4C">
            <w:pPr>
              <w:rPr>
                <w:sz w:val="20"/>
                <w:szCs w:val="20"/>
              </w:rPr>
            </w:pPr>
            <w:r w:rsidRPr="00586D24">
              <w:rPr>
                <w:sz w:val="20"/>
                <w:szCs w:val="20"/>
              </w:rPr>
              <w:t>(</w:t>
            </w:r>
            <w:r w:rsidR="00A76E14" w:rsidRPr="00A76E14">
              <w:rPr>
                <w:sz w:val="20"/>
                <w:szCs w:val="20"/>
              </w:rPr>
              <w:t>gültig ab 01.01.2025 bis zum 31.12.2025)</w:t>
            </w:r>
          </w:p>
        </w:tc>
        <w:tc>
          <w:tcPr>
            <w:tcW w:w="1748" w:type="dxa"/>
          </w:tcPr>
          <w:p w14:paraId="48242AE1" w14:textId="77777777" w:rsidR="00D36720" w:rsidRPr="00586D24" w:rsidRDefault="00D36720" w:rsidP="000E7C4C">
            <w:pPr>
              <w:rPr>
                <w:sz w:val="20"/>
                <w:szCs w:val="20"/>
                <w:lang w:val="en-GB"/>
              </w:rPr>
            </w:pPr>
            <w:r w:rsidRPr="00586D24">
              <w:rPr>
                <w:sz w:val="20"/>
                <w:szCs w:val="20"/>
                <w:lang w:val="en-GB"/>
              </w:rPr>
              <w:t>Information for standard capacity products for firm capacity (reserve prices, multipliers, seasonal factors, etc.)</w:t>
            </w:r>
          </w:p>
        </w:tc>
        <w:tc>
          <w:tcPr>
            <w:tcW w:w="4773" w:type="dxa"/>
          </w:tcPr>
          <w:p w14:paraId="0BB0562B" w14:textId="6412E71C" w:rsidR="00D82F89" w:rsidRPr="00875452" w:rsidRDefault="00C11C87" w:rsidP="00D82F89">
            <w:pPr>
              <w:rPr>
                <w:sz w:val="20"/>
                <w:szCs w:val="20"/>
                <w:lang w:val="en-US"/>
              </w:rPr>
            </w:pPr>
            <w:hyperlink r:id="rId13" w:history="1">
              <w:r>
                <w:rPr>
                  <w:rStyle w:val="Hyperlink"/>
                  <w:sz w:val="20"/>
                  <w:szCs w:val="20"/>
                  <w:lang w:val="en-US"/>
                </w:rPr>
                <w:t>price list 2025</w:t>
              </w:r>
            </w:hyperlink>
          </w:p>
          <w:p w14:paraId="12B57E09" w14:textId="77777777" w:rsidR="00D36720" w:rsidRPr="00586D24" w:rsidRDefault="00D36720" w:rsidP="000E7C4C">
            <w:pPr>
              <w:rPr>
                <w:sz w:val="20"/>
                <w:szCs w:val="20"/>
                <w:lang w:val="en-GB"/>
              </w:rPr>
            </w:pPr>
          </w:p>
          <w:p w14:paraId="359A5AAC" w14:textId="40E7D98F" w:rsidR="00D36720" w:rsidRDefault="00D36720" w:rsidP="000E7C4C">
            <w:pPr>
              <w:rPr>
                <w:sz w:val="20"/>
                <w:szCs w:val="20"/>
                <w:lang w:val="en-GB"/>
              </w:rPr>
            </w:pPr>
            <w:r w:rsidRPr="00586D24">
              <w:rPr>
                <w:sz w:val="20"/>
                <w:szCs w:val="20"/>
                <w:lang w:val="en-GB"/>
              </w:rPr>
              <w:t xml:space="preserve">For the justification of the level of multipliers, </w:t>
            </w:r>
            <w:r>
              <w:rPr>
                <w:sz w:val="20"/>
                <w:szCs w:val="20"/>
                <w:lang w:val="en-GB"/>
              </w:rPr>
              <w:t>GRTgaz Deutschland</w:t>
            </w:r>
            <w:r w:rsidRPr="00586D24">
              <w:rPr>
                <w:sz w:val="20"/>
                <w:szCs w:val="20"/>
                <w:lang w:val="en-GB"/>
              </w:rPr>
              <w:t xml:space="preserve"> refers to </w:t>
            </w:r>
            <w:r>
              <w:rPr>
                <w:sz w:val="20"/>
                <w:szCs w:val="20"/>
                <w:lang w:val="en-GB"/>
              </w:rPr>
              <w:t xml:space="preserve">the </w:t>
            </w:r>
            <w:r w:rsidRPr="00CD0FA6">
              <w:rPr>
                <w:sz w:val="20"/>
                <w:szCs w:val="20"/>
                <w:lang w:val="en-GB"/>
              </w:rPr>
              <w:t xml:space="preserve">Federal Network Agency’s (German: Bundesnetzagentur [BNetzA]) </w:t>
            </w:r>
            <w:r>
              <w:rPr>
                <w:sz w:val="20"/>
                <w:szCs w:val="20"/>
                <w:lang w:val="en-GB"/>
              </w:rPr>
              <w:t>d</w:t>
            </w:r>
            <w:r w:rsidRPr="00586D24">
              <w:rPr>
                <w:sz w:val="20"/>
                <w:szCs w:val="20"/>
                <w:lang w:val="en-GB"/>
              </w:rPr>
              <w:t>ecision BK9-</w:t>
            </w:r>
            <w:r>
              <w:rPr>
                <w:sz w:val="20"/>
                <w:szCs w:val="20"/>
                <w:lang w:val="en-GB"/>
              </w:rPr>
              <w:t>2</w:t>
            </w:r>
            <w:r w:rsidR="00384DFF">
              <w:rPr>
                <w:sz w:val="20"/>
                <w:szCs w:val="20"/>
                <w:lang w:val="en-GB"/>
              </w:rPr>
              <w:t>1</w:t>
            </w:r>
            <w:r w:rsidRPr="00586D24">
              <w:rPr>
                <w:sz w:val="20"/>
                <w:szCs w:val="20"/>
                <w:lang w:val="en-GB"/>
              </w:rPr>
              <w:t xml:space="preserve">/612 Applicable multipliers for short-term products according to </w:t>
            </w:r>
            <w:hyperlink r:id="rId14" w:history="1">
              <w:r>
                <w:rPr>
                  <w:rStyle w:val="Hyperlink"/>
                  <w:sz w:val="20"/>
                  <w:szCs w:val="20"/>
                  <w:lang w:val="en-GB"/>
                </w:rPr>
                <w:t>MARGIT decision</w:t>
              </w:r>
            </w:hyperlink>
            <w:r w:rsidRPr="00586D24">
              <w:rPr>
                <w:sz w:val="20"/>
                <w:szCs w:val="20"/>
                <w:lang w:val="en-GB"/>
              </w:rPr>
              <w:t>:</w:t>
            </w:r>
          </w:p>
          <w:p w14:paraId="7D954582" w14:textId="77777777" w:rsidR="00D36720" w:rsidRPr="00586D24" w:rsidRDefault="00D36720" w:rsidP="000E7C4C">
            <w:pPr>
              <w:rPr>
                <w:sz w:val="20"/>
                <w:szCs w:val="20"/>
                <w:lang w:val="en-GB"/>
              </w:rPr>
            </w:pPr>
          </w:p>
          <w:tbl>
            <w:tblPr>
              <w:tblStyle w:val="Tabellenraster"/>
              <w:tblW w:w="0" w:type="auto"/>
              <w:tblLook w:val="04A0" w:firstRow="1" w:lastRow="0" w:firstColumn="1" w:lastColumn="0" w:noHBand="0" w:noVBand="1"/>
            </w:tblPr>
            <w:tblGrid>
              <w:gridCol w:w="3288"/>
              <w:gridCol w:w="1134"/>
            </w:tblGrid>
            <w:tr w:rsidR="00D36720" w:rsidRPr="000F6EE8" w14:paraId="7CDAFC6A" w14:textId="77777777" w:rsidTr="000E7C4C">
              <w:tc>
                <w:tcPr>
                  <w:tcW w:w="3288" w:type="dxa"/>
                </w:tcPr>
                <w:p w14:paraId="629881F0" w14:textId="77777777" w:rsidR="00D36720" w:rsidRPr="00A20C3C" w:rsidRDefault="00D36720" w:rsidP="000E7C4C">
                  <w:pPr>
                    <w:rPr>
                      <w:b/>
                      <w:bCs/>
                      <w:sz w:val="20"/>
                      <w:szCs w:val="20"/>
                      <w:lang w:val="en-GB"/>
                    </w:rPr>
                  </w:pPr>
                  <w:r w:rsidRPr="00A20C3C">
                    <w:rPr>
                      <w:b/>
                      <w:bCs/>
                      <w:sz w:val="20"/>
                      <w:szCs w:val="20"/>
                      <w:lang w:val="en-GB"/>
                    </w:rPr>
                    <w:t>Product</w:t>
                  </w:r>
                </w:p>
              </w:tc>
              <w:tc>
                <w:tcPr>
                  <w:tcW w:w="1134" w:type="dxa"/>
                </w:tcPr>
                <w:p w14:paraId="0FBDBBD1" w14:textId="77777777" w:rsidR="00D36720" w:rsidRPr="00A20C3C" w:rsidRDefault="00D36720" w:rsidP="000E7C4C">
                  <w:pPr>
                    <w:rPr>
                      <w:b/>
                      <w:bCs/>
                      <w:sz w:val="20"/>
                      <w:szCs w:val="20"/>
                      <w:lang w:val="en-GB"/>
                    </w:rPr>
                  </w:pPr>
                  <w:r w:rsidRPr="00A20C3C">
                    <w:rPr>
                      <w:b/>
                      <w:bCs/>
                      <w:sz w:val="20"/>
                      <w:szCs w:val="20"/>
                      <w:lang w:val="en-GB"/>
                    </w:rPr>
                    <w:t>Multiplier</w:t>
                  </w:r>
                </w:p>
              </w:tc>
            </w:tr>
            <w:tr w:rsidR="00D36720" w:rsidRPr="000F6EE8" w14:paraId="7B31DF40" w14:textId="77777777" w:rsidTr="000E7C4C">
              <w:tc>
                <w:tcPr>
                  <w:tcW w:w="3288" w:type="dxa"/>
                </w:tcPr>
                <w:p w14:paraId="78127740" w14:textId="77777777" w:rsidR="00D36720" w:rsidRPr="00A20C3C" w:rsidRDefault="00D36720" w:rsidP="000E7C4C">
                  <w:pPr>
                    <w:rPr>
                      <w:sz w:val="18"/>
                      <w:szCs w:val="18"/>
                      <w:lang w:val="en-GB"/>
                    </w:rPr>
                  </w:pPr>
                  <w:r>
                    <w:rPr>
                      <w:sz w:val="18"/>
                      <w:szCs w:val="18"/>
                      <w:lang w:val="en-GB"/>
                    </w:rPr>
                    <w:t>Within-Day product</w:t>
                  </w:r>
                </w:p>
              </w:tc>
              <w:tc>
                <w:tcPr>
                  <w:tcW w:w="1134" w:type="dxa"/>
                </w:tcPr>
                <w:p w14:paraId="7775BF1E" w14:textId="77777777" w:rsidR="00D36720" w:rsidRPr="00A20C3C" w:rsidRDefault="00D36720" w:rsidP="000E7C4C">
                  <w:pPr>
                    <w:jc w:val="center"/>
                    <w:rPr>
                      <w:sz w:val="18"/>
                      <w:szCs w:val="18"/>
                      <w:lang w:val="en-GB"/>
                    </w:rPr>
                  </w:pPr>
                  <w:r w:rsidRPr="00A20C3C">
                    <w:rPr>
                      <w:sz w:val="18"/>
                      <w:szCs w:val="18"/>
                      <w:lang w:val="en-GB"/>
                    </w:rPr>
                    <w:t>2.0</w:t>
                  </w:r>
                </w:p>
              </w:tc>
            </w:tr>
            <w:tr w:rsidR="00D36720" w:rsidRPr="000F6EE8" w14:paraId="3B2E582A" w14:textId="77777777" w:rsidTr="000E7C4C">
              <w:tc>
                <w:tcPr>
                  <w:tcW w:w="3288" w:type="dxa"/>
                </w:tcPr>
                <w:p w14:paraId="434E961B" w14:textId="77777777" w:rsidR="00D36720" w:rsidRPr="00A20C3C" w:rsidRDefault="00D36720" w:rsidP="000E7C4C">
                  <w:pPr>
                    <w:rPr>
                      <w:sz w:val="18"/>
                      <w:szCs w:val="18"/>
                      <w:lang w:val="en-GB"/>
                    </w:rPr>
                  </w:pPr>
                  <w:r>
                    <w:rPr>
                      <w:sz w:val="18"/>
                      <w:szCs w:val="18"/>
                      <w:lang w:val="en-GB"/>
                    </w:rPr>
                    <w:t>Daily product (runtime: 1-27 days)</w:t>
                  </w:r>
                </w:p>
              </w:tc>
              <w:tc>
                <w:tcPr>
                  <w:tcW w:w="1134" w:type="dxa"/>
                </w:tcPr>
                <w:p w14:paraId="38E16D64" w14:textId="77777777" w:rsidR="00D36720" w:rsidRPr="00A20C3C" w:rsidRDefault="00D36720" w:rsidP="000E7C4C">
                  <w:pPr>
                    <w:jc w:val="center"/>
                    <w:rPr>
                      <w:sz w:val="18"/>
                      <w:szCs w:val="18"/>
                      <w:lang w:val="en-GB"/>
                    </w:rPr>
                  </w:pPr>
                  <w:r w:rsidRPr="00A20C3C">
                    <w:rPr>
                      <w:sz w:val="18"/>
                      <w:szCs w:val="18"/>
                      <w:lang w:val="en-GB"/>
                    </w:rPr>
                    <w:t>1.4</w:t>
                  </w:r>
                </w:p>
              </w:tc>
            </w:tr>
            <w:tr w:rsidR="00D36720" w:rsidRPr="000F6EE8" w14:paraId="74DBD156" w14:textId="77777777" w:rsidTr="000E7C4C">
              <w:tc>
                <w:tcPr>
                  <w:tcW w:w="3288" w:type="dxa"/>
                </w:tcPr>
                <w:p w14:paraId="7BF91DFE" w14:textId="77777777" w:rsidR="00D36720" w:rsidRPr="00A20C3C" w:rsidRDefault="00D36720" w:rsidP="000E7C4C">
                  <w:pPr>
                    <w:rPr>
                      <w:sz w:val="18"/>
                      <w:szCs w:val="18"/>
                      <w:lang w:val="en-GB"/>
                    </w:rPr>
                  </w:pPr>
                  <w:r>
                    <w:rPr>
                      <w:sz w:val="18"/>
                      <w:szCs w:val="18"/>
                      <w:lang w:val="en-GB"/>
                    </w:rPr>
                    <w:t>Monthly product (runtime: 28-89 days)</w:t>
                  </w:r>
                </w:p>
              </w:tc>
              <w:tc>
                <w:tcPr>
                  <w:tcW w:w="1134" w:type="dxa"/>
                </w:tcPr>
                <w:p w14:paraId="1F009834" w14:textId="77777777" w:rsidR="00D36720" w:rsidRPr="00A20C3C" w:rsidRDefault="00D36720" w:rsidP="000E7C4C">
                  <w:pPr>
                    <w:jc w:val="center"/>
                    <w:rPr>
                      <w:sz w:val="18"/>
                      <w:szCs w:val="18"/>
                      <w:lang w:val="en-GB"/>
                    </w:rPr>
                  </w:pPr>
                  <w:r w:rsidRPr="00A20C3C">
                    <w:rPr>
                      <w:sz w:val="18"/>
                      <w:szCs w:val="18"/>
                      <w:lang w:val="en-GB"/>
                    </w:rPr>
                    <w:t>1.25</w:t>
                  </w:r>
                </w:p>
              </w:tc>
            </w:tr>
            <w:tr w:rsidR="00D36720" w:rsidRPr="000F6EE8" w14:paraId="1FC1C42D" w14:textId="77777777" w:rsidTr="000E7C4C">
              <w:tc>
                <w:tcPr>
                  <w:tcW w:w="3288" w:type="dxa"/>
                </w:tcPr>
                <w:p w14:paraId="2FFAD744" w14:textId="77777777" w:rsidR="00D36720" w:rsidRPr="00A20C3C" w:rsidRDefault="00D36720" w:rsidP="000E7C4C">
                  <w:pPr>
                    <w:rPr>
                      <w:sz w:val="18"/>
                      <w:szCs w:val="18"/>
                      <w:lang w:val="en-GB"/>
                    </w:rPr>
                  </w:pPr>
                  <w:r>
                    <w:rPr>
                      <w:sz w:val="18"/>
                      <w:szCs w:val="18"/>
                      <w:lang w:val="en-GB"/>
                    </w:rPr>
                    <w:t>Quarterly product (runtime: 90-364 days)</w:t>
                  </w:r>
                </w:p>
              </w:tc>
              <w:tc>
                <w:tcPr>
                  <w:tcW w:w="1134" w:type="dxa"/>
                </w:tcPr>
                <w:p w14:paraId="45210B78" w14:textId="77777777" w:rsidR="00D36720" w:rsidRPr="00A20C3C" w:rsidRDefault="00D36720" w:rsidP="000E7C4C">
                  <w:pPr>
                    <w:jc w:val="center"/>
                    <w:rPr>
                      <w:sz w:val="18"/>
                      <w:szCs w:val="18"/>
                      <w:lang w:val="en-GB"/>
                    </w:rPr>
                  </w:pPr>
                  <w:r w:rsidRPr="00A20C3C">
                    <w:rPr>
                      <w:sz w:val="18"/>
                      <w:szCs w:val="18"/>
                      <w:lang w:val="en-GB"/>
                    </w:rPr>
                    <w:t>1.1</w:t>
                  </w:r>
                </w:p>
              </w:tc>
            </w:tr>
          </w:tbl>
          <w:p w14:paraId="499EDF7A" w14:textId="77777777" w:rsidR="005D1F01" w:rsidRDefault="005D1F01" w:rsidP="000E7C4C">
            <w:pPr>
              <w:rPr>
                <w:sz w:val="20"/>
                <w:szCs w:val="20"/>
                <w:lang w:val="en-GB"/>
              </w:rPr>
            </w:pPr>
          </w:p>
          <w:p w14:paraId="0EFB88C1" w14:textId="4AF6EF50" w:rsidR="00D36720" w:rsidRPr="0061176C" w:rsidRDefault="00D36720" w:rsidP="000E7C4C">
            <w:pPr>
              <w:rPr>
                <w:sz w:val="20"/>
                <w:szCs w:val="20"/>
                <w:lang w:val="en-US"/>
              </w:rPr>
            </w:pPr>
            <w:r w:rsidRPr="00586D24">
              <w:rPr>
                <w:sz w:val="20"/>
                <w:szCs w:val="20"/>
                <w:lang w:val="en-GB"/>
              </w:rPr>
              <w:t>(</w:t>
            </w:r>
            <w:r w:rsidR="0061176C" w:rsidRPr="0061176C">
              <w:rPr>
                <w:sz w:val="20"/>
                <w:szCs w:val="20"/>
                <w:lang w:val="en-US"/>
              </w:rPr>
              <w:t>valid from 01.01.2025 until 31.12.2025)</w:t>
            </w:r>
          </w:p>
        </w:tc>
      </w:tr>
      <w:tr w:rsidR="00D36720" w:rsidRPr="000F6EE8" w14:paraId="54598499" w14:textId="77777777" w:rsidTr="000E7C4C">
        <w:tblPrEx>
          <w:tblCellMar>
            <w:left w:w="70" w:type="dxa"/>
            <w:right w:w="70" w:type="dxa"/>
          </w:tblCellMar>
        </w:tblPrEx>
        <w:tc>
          <w:tcPr>
            <w:tcW w:w="1092" w:type="dxa"/>
          </w:tcPr>
          <w:p w14:paraId="1914D740" w14:textId="77777777" w:rsidR="00D36720" w:rsidRPr="00586D24" w:rsidRDefault="00D36720" w:rsidP="000E7C4C">
            <w:pPr>
              <w:rPr>
                <w:b/>
                <w:bCs/>
                <w:color w:val="00A984"/>
                <w:sz w:val="20"/>
                <w:szCs w:val="20"/>
              </w:rPr>
            </w:pPr>
            <w:r w:rsidRPr="00586D24">
              <w:rPr>
                <w:b/>
                <w:bCs/>
                <w:color w:val="00A984"/>
                <w:sz w:val="20"/>
                <w:szCs w:val="20"/>
              </w:rPr>
              <w:t>Art. 29 (b)</w:t>
            </w:r>
          </w:p>
        </w:tc>
        <w:tc>
          <w:tcPr>
            <w:tcW w:w="1805" w:type="dxa"/>
          </w:tcPr>
          <w:p w14:paraId="4F926D11" w14:textId="77777777" w:rsidR="00D36720" w:rsidRPr="00586D24" w:rsidRDefault="00D36720" w:rsidP="000E7C4C">
            <w:pPr>
              <w:rPr>
                <w:sz w:val="20"/>
                <w:szCs w:val="20"/>
              </w:rPr>
            </w:pPr>
            <w:r w:rsidRPr="00586D24">
              <w:rPr>
                <w:sz w:val="20"/>
                <w:szCs w:val="20"/>
              </w:rPr>
              <w:t>Informationen zu unterbrechbaren Standardprodukten (Reservepreise und eine Bewertung der Wahrscheinlichkeit einer Unterbrechung)</w:t>
            </w:r>
          </w:p>
        </w:tc>
        <w:tc>
          <w:tcPr>
            <w:tcW w:w="5036" w:type="dxa"/>
          </w:tcPr>
          <w:p w14:paraId="7F59E357" w14:textId="1506D857" w:rsidR="00E204F9" w:rsidRPr="00586D24" w:rsidRDefault="003B7458" w:rsidP="00E204F9">
            <w:pPr>
              <w:rPr>
                <w:sz w:val="20"/>
                <w:szCs w:val="20"/>
              </w:rPr>
            </w:pPr>
            <w:hyperlink r:id="rId15" w:history="1">
              <w:r>
                <w:rPr>
                  <w:rStyle w:val="Hyperlink"/>
                  <w:sz w:val="20"/>
                  <w:szCs w:val="20"/>
                </w:rPr>
                <w:t>Preisblatt 2025</w:t>
              </w:r>
            </w:hyperlink>
          </w:p>
          <w:p w14:paraId="239B4733" w14:textId="52A3FAE0" w:rsidR="00D36720" w:rsidRDefault="00D36720" w:rsidP="000E7C4C">
            <w:pPr>
              <w:rPr>
                <w:sz w:val="20"/>
                <w:szCs w:val="20"/>
              </w:rPr>
            </w:pPr>
            <w:r w:rsidRPr="00985A5E">
              <w:rPr>
                <w:sz w:val="20"/>
                <w:szCs w:val="20"/>
              </w:rPr>
              <w:t>Die Bundesnetzagentur hat in Anlage I ihres Beschluss</w:t>
            </w:r>
            <w:r>
              <w:rPr>
                <w:sz w:val="20"/>
                <w:szCs w:val="20"/>
              </w:rPr>
              <w:t>-</w:t>
            </w:r>
            <w:r w:rsidRPr="00985A5E">
              <w:rPr>
                <w:sz w:val="20"/>
                <w:szCs w:val="20"/>
              </w:rPr>
              <w:t>entwurf BK9-2</w:t>
            </w:r>
            <w:r w:rsidR="00DC2B59">
              <w:rPr>
                <w:sz w:val="20"/>
                <w:szCs w:val="20"/>
              </w:rPr>
              <w:t>1</w:t>
            </w:r>
            <w:r w:rsidRPr="00985A5E">
              <w:rPr>
                <w:sz w:val="20"/>
                <w:szCs w:val="20"/>
              </w:rPr>
              <w:t xml:space="preserve">/612 </w:t>
            </w:r>
            <w:r w:rsidRPr="00586D24">
              <w:rPr>
                <w:sz w:val="20"/>
                <w:szCs w:val="20"/>
              </w:rPr>
              <w:t>(</w:t>
            </w:r>
            <w:hyperlink r:id="rId16" w:history="1">
              <w:r w:rsidR="00E44A61">
                <w:rPr>
                  <w:rStyle w:val="Hyperlink"/>
                  <w:sz w:val="20"/>
                  <w:szCs w:val="20"/>
                </w:rPr>
                <w:t>Festlegung „MARGIT 2025"</w:t>
              </w:r>
            </w:hyperlink>
            <w:r w:rsidRPr="00586D24">
              <w:rPr>
                <w:sz w:val="20"/>
                <w:szCs w:val="20"/>
              </w:rPr>
              <w:t>) die Höhe des an den Kopplungspunkten anzuwendenden Abschlags für unterbrechbare Kapazität bis zum 01.</w:t>
            </w:r>
            <w:r>
              <w:rPr>
                <w:sz w:val="20"/>
                <w:szCs w:val="20"/>
              </w:rPr>
              <w:t>01</w:t>
            </w:r>
            <w:r w:rsidRPr="00586D24">
              <w:rPr>
                <w:sz w:val="20"/>
                <w:szCs w:val="20"/>
              </w:rPr>
              <w:t>.202</w:t>
            </w:r>
            <w:r>
              <w:rPr>
                <w:sz w:val="20"/>
                <w:szCs w:val="20"/>
              </w:rPr>
              <w:t>3</w:t>
            </w:r>
            <w:r w:rsidRPr="00586D24">
              <w:rPr>
                <w:sz w:val="20"/>
                <w:szCs w:val="20"/>
              </w:rPr>
              <w:t xml:space="preserve"> festgelegt.</w:t>
            </w:r>
          </w:p>
          <w:p w14:paraId="17073C1B" w14:textId="637EDECD" w:rsidR="00D36720" w:rsidRDefault="00D36720" w:rsidP="000E7C4C">
            <w:pPr>
              <w:rPr>
                <w:sz w:val="20"/>
                <w:szCs w:val="20"/>
              </w:rPr>
            </w:pPr>
            <w:r w:rsidRPr="00CC7FD0">
              <w:rPr>
                <w:sz w:val="20"/>
                <w:szCs w:val="20"/>
              </w:rPr>
              <w:t xml:space="preserve">Die </w:t>
            </w:r>
            <w:r w:rsidRPr="0005337B">
              <w:rPr>
                <w:sz w:val="20"/>
                <w:szCs w:val="20"/>
              </w:rPr>
              <w:t>Daten zur Berechnung der Abschläge</w:t>
            </w:r>
            <w:r w:rsidRPr="00CC7FD0">
              <w:rPr>
                <w:sz w:val="20"/>
                <w:szCs w:val="20"/>
              </w:rPr>
              <w:t xml:space="preserve"> wurden im Rahmen der Konsultation der Festlegung MARGIT veröffentlicht.</w:t>
            </w:r>
          </w:p>
          <w:p w14:paraId="0B99A3B7" w14:textId="04FCA563" w:rsidR="00D36720" w:rsidRPr="00AD61B4" w:rsidRDefault="00D36720" w:rsidP="000E7C4C">
            <w:pPr>
              <w:rPr>
                <w:sz w:val="20"/>
                <w:szCs w:val="20"/>
              </w:rPr>
            </w:pPr>
            <w:bookmarkStart w:id="0" w:name="_Hlk87446856"/>
            <w:r w:rsidRPr="00CC7FD0">
              <w:rPr>
                <w:sz w:val="20"/>
                <w:szCs w:val="20"/>
              </w:rPr>
              <w:t>Nach Beschluss BK9-18/608 beträgt der Sicherheits</w:t>
            </w:r>
            <w:r>
              <w:rPr>
                <w:sz w:val="20"/>
                <w:szCs w:val="20"/>
              </w:rPr>
              <w:t>-</w:t>
            </w:r>
            <w:r w:rsidRPr="00CC7FD0">
              <w:rPr>
                <w:sz w:val="20"/>
                <w:szCs w:val="20"/>
              </w:rPr>
              <w:t>aufschlag S=10%. Mit ihrem Beschluss BK9-20/608 (</w:t>
            </w:r>
            <w:hyperlink r:id="rId17" w:history="1">
              <w:r w:rsidRPr="00613D4D">
                <w:rPr>
                  <w:rStyle w:val="Hyperlink"/>
                  <w:sz w:val="20"/>
                  <w:szCs w:val="20"/>
                </w:rPr>
                <w:t>Festlegung „BEATE 2.0</w:t>
              </w:r>
            </w:hyperlink>
            <w:r w:rsidRPr="00CC7FD0">
              <w:rPr>
                <w:sz w:val="20"/>
                <w:szCs w:val="20"/>
              </w:rPr>
              <w:t xml:space="preserve">) hat die Bundesnetzagentur den Sicherheitsaufschlag an anderen als Kopplungspunkten im H-Gas-Netz ab dem 01.10.2021 auf S=20% gesetzt. </w:t>
            </w:r>
            <w:bookmarkEnd w:id="0"/>
            <w:r w:rsidRPr="00CC7FD0">
              <w:rPr>
                <w:sz w:val="20"/>
                <w:szCs w:val="20"/>
              </w:rPr>
              <w:t>Dieser entspricht damit dem Sicherheitsaufschlag für Kopplungs</w:t>
            </w:r>
            <w:r>
              <w:rPr>
                <w:sz w:val="20"/>
                <w:szCs w:val="20"/>
              </w:rPr>
              <w:t>-</w:t>
            </w:r>
            <w:r w:rsidRPr="00CC7FD0">
              <w:rPr>
                <w:sz w:val="20"/>
                <w:szCs w:val="20"/>
              </w:rPr>
              <w:t>punkte im H-Gas-Netz laut Beschluss BK9-2</w:t>
            </w:r>
            <w:r w:rsidR="00DC2B59">
              <w:rPr>
                <w:sz w:val="20"/>
                <w:szCs w:val="20"/>
              </w:rPr>
              <w:t>1</w:t>
            </w:r>
            <w:r w:rsidRPr="00CC7FD0">
              <w:rPr>
                <w:sz w:val="20"/>
                <w:szCs w:val="20"/>
              </w:rPr>
              <w:t>/612 MARGIT 202</w:t>
            </w:r>
            <w:r w:rsidR="007C1594">
              <w:rPr>
                <w:sz w:val="20"/>
                <w:szCs w:val="20"/>
              </w:rPr>
              <w:t>4</w:t>
            </w:r>
            <w:r w:rsidRPr="00CC7FD0">
              <w:rPr>
                <w:sz w:val="20"/>
                <w:szCs w:val="20"/>
              </w:rPr>
              <w:t>.</w:t>
            </w:r>
          </w:p>
        </w:tc>
        <w:tc>
          <w:tcPr>
            <w:tcW w:w="1748" w:type="dxa"/>
          </w:tcPr>
          <w:p w14:paraId="202A5709" w14:textId="77777777" w:rsidR="00D36720" w:rsidRPr="00586D24" w:rsidRDefault="00D36720" w:rsidP="000E7C4C">
            <w:pPr>
              <w:rPr>
                <w:sz w:val="20"/>
                <w:szCs w:val="20"/>
                <w:lang w:val="en-GB"/>
              </w:rPr>
            </w:pPr>
            <w:r w:rsidRPr="00586D24">
              <w:rPr>
                <w:sz w:val="20"/>
                <w:szCs w:val="20"/>
                <w:lang w:val="en-GB"/>
              </w:rPr>
              <w:t>Information for standard capacity products for interruptible capacity (reserve prices and an assessment of the probability of interruption)</w:t>
            </w:r>
          </w:p>
        </w:tc>
        <w:tc>
          <w:tcPr>
            <w:tcW w:w="4773" w:type="dxa"/>
          </w:tcPr>
          <w:p w14:paraId="1FED618C" w14:textId="03822989" w:rsidR="00E204F9" w:rsidRPr="00586D24" w:rsidRDefault="00E44A61" w:rsidP="00E204F9">
            <w:pPr>
              <w:rPr>
                <w:sz w:val="20"/>
                <w:szCs w:val="20"/>
                <w:lang w:val="en-GB"/>
              </w:rPr>
            </w:pPr>
            <w:hyperlink r:id="rId18" w:history="1">
              <w:r>
                <w:rPr>
                  <w:rStyle w:val="Hyperlink"/>
                  <w:sz w:val="20"/>
                  <w:szCs w:val="20"/>
                  <w:lang w:val="en-GB"/>
                </w:rPr>
                <w:t>Price list 2025</w:t>
              </w:r>
            </w:hyperlink>
          </w:p>
          <w:p w14:paraId="71571E20" w14:textId="33F26E09" w:rsidR="00D36720" w:rsidRDefault="00D36720" w:rsidP="000E7C4C">
            <w:pPr>
              <w:rPr>
                <w:sz w:val="20"/>
                <w:szCs w:val="20"/>
                <w:lang w:val="en-GB"/>
              </w:rPr>
            </w:pPr>
            <w:r w:rsidRPr="00F03562">
              <w:rPr>
                <w:sz w:val="20"/>
                <w:szCs w:val="20"/>
                <w:lang w:val="en-GB"/>
              </w:rPr>
              <w:t>The BNetzA determined the discounts for interruptible capacity at interconnection points in its decision BK9-2</w:t>
            </w:r>
            <w:r w:rsidR="00DC2B59">
              <w:rPr>
                <w:sz w:val="20"/>
                <w:szCs w:val="20"/>
                <w:lang w:val="en-GB"/>
              </w:rPr>
              <w:t>1</w:t>
            </w:r>
            <w:r w:rsidRPr="00F03562">
              <w:rPr>
                <w:sz w:val="20"/>
                <w:szCs w:val="20"/>
                <w:lang w:val="en-GB"/>
              </w:rPr>
              <w:t>/612 (</w:t>
            </w:r>
            <w:hyperlink r:id="rId19" w:history="1">
              <w:r w:rsidR="00E44A61">
                <w:rPr>
                  <w:rStyle w:val="Hyperlink"/>
                  <w:sz w:val="20"/>
                  <w:szCs w:val="20"/>
                  <w:lang w:val="en-GB"/>
                </w:rPr>
                <w:t>Decision MARGIT 2025</w:t>
              </w:r>
            </w:hyperlink>
            <w:r w:rsidRPr="00F03562">
              <w:rPr>
                <w:sz w:val="20"/>
                <w:szCs w:val="20"/>
                <w:lang w:val="en-GB"/>
              </w:rPr>
              <w:t>) Annex I. The</w:t>
            </w:r>
            <w:r>
              <w:rPr>
                <w:sz w:val="20"/>
                <w:szCs w:val="20"/>
                <w:lang w:val="en-GB"/>
              </w:rPr>
              <w:t xml:space="preserve"> </w:t>
            </w:r>
            <w:r w:rsidRPr="00F03562">
              <w:rPr>
                <w:sz w:val="20"/>
                <w:szCs w:val="20"/>
                <w:lang w:val="en-GB"/>
              </w:rPr>
              <w:t>methodology to calculate these discounts is described in chapter 6 of the decision MARGI</w:t>
            </w:r>
            <w:r w:rsidR="0005337B">
              <w:rPr>
                <w:sz w:val="20"/>
                <w:szCs w:val="20"/>
                <w:lang w:val="en-GB"/>
              </w:rPr>
              <w:t>T</w:t>
            </w:r>
            <w:r w:rsidRPr="00F03562">
              <w:rPr>
                <w:sz w:val="20"/>
                <w:szCs w:val="20"/>
                <w:lang w:val="en-GB"/>
              </w:rPr>
              <w:t xml:space="preserve">. </w:t>
            </w:r>
          </w:p>
          <w:p w14:paraId="362BA697" w14:textId="77777777" w:rsidR="00D36720" w:rsidRDefault="00D36720" w:rsidP="000E7C4C">
            <w:pPr>
              <w:rPr>
                <w:sz w:val="20"/>
                <w:szCs w:val="20"/>
                <w:lang w:val="en-GB"/>
              </w:rPr>
            </w:pPr>
          </w:p>
          <w:p w14:paraId="43A2B729" w14:textId="14DF9B85" w:rsidR="00D36720" w:rsidRPr="00586D24" w:rsidRDefault="00D36720" w:rsidP="000E7C4C">
            <w:pPr>
              <w:rPr>
                <w:sz w:val="20"/>
                <w:szCs w:val="20"/>
                <w:lang w:val="en-GB"/>
              </w:rPr>
            </w:pPr>
            <w:r w:rsidRPr="00F03562">
              <w:rPr>
                <w:sz w:val="20"/>
                <w:szCs w:val="20"/>
                <w:lang w:val="en-GB"/>
              </w:rPr>
              <w:t>According to decision BK9-18/608, the safety margin is S=10%. In its decision BK9-20/608 (</w:t>
            </w:r>
            <w:hyperlink r:id="rId20" w:history="1">
              <w:r w:rsidRPr="00F03562">
                <w:rPr>
                  <w:rStyle w:val="Hyperlink"/>
                  <w:sz w:val="20"/>
                  <w:szCs w:val="20"/>
                  <w:lang w:val="en-GB"/>
                </w:rPr>
                <w:t>Decision ‘BEATE 2.0’</w:t>
              </w:r>
            </w:hyperlink>
            <w:r w:rsidRPr="00F03562">
              <w:rPr>
                <w:sz w:val="20"/>
                <w:szCs w:val="20"/>
                <w:lang w:val="en-GB"/>
              </w:rPr>
              <w:t>, only available in German), BNetzA has set the safety margin at other than interconnection points in the H-gas network at S=20% from 01/10/2021. This corresponds to the safety margin for interconnection points in the H-gas network according to decision BK9-2</w:t>
            </w:r>
            <w:r w:rsidR="00DC2B59">
              <w:rPr>
                <w:sz w:val="20"/>
                <w:szCs w:val="20"/>
                <w:lang w:val="en-GB"/>
              </w:rPr>
              <w:t>1</w:t>
            </w:r>
            <w:r w:rsidRPr="00F03562">
              <w:rPr>
                <w:sz w:val="20"/>
                <w:szCs w:val="20"/>
                <w:lang w:val="en-GB"/>
              </w:rPr>
              <w:t>/612 (MARGIT 202</w:t>
            </w:r>
            <w:r w:rsidR="007C1594">
              <w:rPr>
                <w:sz w:val="20"/>
                <w:szCs w:val="20"/>
                <w:lang w:val="en-GB"/>
              </w:rPr>
              <w:t>4</w:t>
            </w:r>
            <w:r w:rsidRPr="00F03562">
              <w:rPr>
                <w:sz w:val="20"/>
                <w:szCs w:val="20"/>
                <w:lang w:val="en-GB"/>
              </w:rPr>
              <w:t>).</w:t>
            </w:r>
          </w:p>
        </w:tc>
      </w:tr>
    </w:tbl>
    <w:p w14:paraId="3FD494BB" w14:textId="77777777" w:rsidR="007679D4" w:rsidRDefault="007679D4">
      <w:pPr>
        <w:rPr>
          <w:sz w:val="20"/>
          <w:szCs w:val="20"/>
          <w:lang w:val="en-GB"/>
        </w:rPr>
      </w:pPr>
    </w:p>
    <w:tbl>
      <w:tblPr>
        <w:tblStyle w:val="Tabellenraster"/>
        <w:tblW w:w="14884" w:type="dxa"/>
        <w:tblInd w:w="-147" w:type="dxa"/>
        <w:tblLayout w:type="fixed"/>
        <w:tblLook w:val="04A0" w:firstRow="1" w:lastRow="0" w:firstColumn="1" w:lastColumn="0" w:noHBand="0" w:noVBand="1"/>
      </w:tblPr>
      <w:tblGrid>
        <w:gridCol w:w="1161"/>
        <w:gridCol w:w="2242"/>
        <w:gridCol w:w="4394"/>
        <w:gridCol w:w="1984"/>
        <w:gridCol w:w="5103"/>
      </w:tblGrid>
      <w:tr w:rsidR="00D36720" w:rsidRPr="000F6EE8" w14:paraId="5FBBFF8C" w14:textId="77777777" w:rsidTr="00C61DA2">
        <w:trPr>
          <w:trHeight w:val="552"/>
        </w:trPr>
        <w:tc>
          <w:tcPr>
            <w:tcW w:w="1161" w:type="dxa"/>
            <w:shd w:val="clear" w:color="auto" w:fill="00A984"/>
          </w:tcPr>
          <w:p w14:paraId="141AE7A2" w14:textId="77777777" w:rsidR="00D36720" w:rsidRPr="00B6485A" w:rsidRDefault="00D36720" w:rsidP="000E7C4C">
            <w:pPr>
              <w:rPr>
                <w:b/>
                <w:bCs/>
                <w:color w:val="FFFFFF" w:themeColor="background1"/>
                <w:lang w:val="en-GB"/>
              </w:rPr>
            </w:pPr>
          </w:p>
        </w:tc>
        <w:tc>
          <w:tcPr>
            <w:tcW w:w="6636" w:type="dxa"/>
            <w:gridSpan w:val="2"/>
            <w:shd w:val="clear" w:color="auto" w:fill="00A984"/>
            <w:vAlign w:val="center"/>
          </w:tcPr>
          <w:p w14:paraId="6734E9AC" w14:textId="77777777" w:rsidR="00D36720" w:rsidRPr="00586D24" w:rsidRDefault="00D36720" w:rsidP="000E7C4C">
            <w:pPr>
              <w:rPr>
                <w:b/>
                <w:bCs/>
                <w:color w:val="FFFFFF" w:themeColor="background1"/>
              </w:rPr>
            </w:pPr>
            <w:r w:rsidRPr="00586D24">
              <w:rPr>
                <w:b/>
                <w:bCs/>
                <w:color w:val="FFFFFF" w:themeColor="background1"/>
              </w:rPr>
              <w:t>Veröffentlichung nach Art</w:t>
            </w:r>
            <w:r>
              <w:rPr>
                <w:b/>
                <w:bCs/>
                <w:color w:val="FFFFFF" w:themeColor="background1"/>
              </w:rPr>
              <w:t>.</w:t>
            </w:r>
            <w:r w:rsidRPr="00586D24">
              <w:rPr>
                <w:b/>
                <w:bCs/>
                <w:color w:val="FFFFFF" w:themeColor="background1"/>
              </w:rPr>
              <w:t xml:space="preserve"> 30 Regulation</w:t>
            </w:r>
          </w:p>
          <w:p w14:paraId="73F551AF" w14:textId="77777777" w:rsidR="00D36720" w:rsidRPr="00586D24" w:rsidRDefault="00D36720" w:rsidP="000E7C4C">
            <w:pPr>
              <w:rPr>
                <w:b/>
                <w:bCs/>
                <w:color w:val="FFFFFF" w:themeColor="background1"/>
              </w:rPr>
            </w:pPr>
            <w:r w:rsidRPr="00586D24">
              <w:rPr>
                <w:b/>
                <w:bCs/>
                <w:color w:val="FFFFFF" w:themeColor="background1"/>
              </w:rPr>
              <w:t>(EU) 2017/460 (NC Tariffs)</w:t>
            </w:r>
          </w:p>
        </w:tc>
        <w:tc>
          <w:tcPr>
            <w:tcW w:w="7087" w:type="dxa"/>
            <w:gridSpan w:val="2"/>
            <w:shd w:val="clear" w:color="auto" w:fill="00A984"/>
            <w:vAlign w:val="center"/>
          </w:tcPr>
          <w:p w14:paraId="254B9D7D" w14:textId="77777777" w:rsidR="00D36720" w:rsidRPr="00586D24" w:rsidRDefault="00D36720" w:rsidP="000E7C4C">
            <w:pPr>
              <w:rPr>
                <w:b/>
                <w:bCs/>
                <w:color w:val="FFFFFF" w:themeColor="background1"/>
                <w:lang w:val="en-GB"/>
              </w:rPr>
            </w:pPr>
            <w:r w:rsidRPr="00586D24">
              <w:rPr>
                <w:b/>
                <w:bCs/>
                <w:color w:val="FFFFFF" w:themeColor="background1"/>
                <w:lang w:val="en-GB"/>
              </w:rPr>
              <w:t>Publication according to Art. 30 Regulation</w:t>
            </w:r>
          </w:p>
          <w:p w14:paraId="60E58213" w14:textId="77777777" w:rsidR="00D36720" w:rsidRPr="003F0E2F" w:rsidRDefault="00D36720" w:rsidP="000E7C4C">
            <w:pPr>
              <w:rPr>
                <w:b/>
                <w:bCs/>
                <w:color w:val="FFFFFF" w:themeColor="background1"/>
                <w:lang w:val="en-GB"/>
              </w:rPr>
            </w:pPr>
            <w:r w:rsidRPr="003F0E2F">
              <w:rPr>
                <w:b/>
                <w:bCs/>
                <w:color w:val="FFFFFF" w:themeColor="background1"/>
                <w:lang w:val="en-GB"/>
              </w:rPr>
              <w:t>(EU) 2017/460 (NC Tariffs)</w:t>
            </w:r>
          </w:p>
        </w:tc>
      </w:tr>
      <w:tr w:rsidR="00D36720" w:rsidRPr="00586D24" w14:paraId="4995ED92" w14:textId="77777777" w:rsidTr="00387056">
        <w:tc>
          <w:tcPr>
            <w:tcW w:w="1161" w:type="dxa"/>
            <w:shd w:val="clear" w:color="auto" w:fill="00A984"/>
          </w:tcPr>
          <w:p w14:paraId="4A47863C" w14:textId="77777777" w:rsidR="00D36720" w:rsidRPr="00586D24" w:rsidRDefault="00D36720" w:rsidP="000E7C4C">
            <w:pPr>
              <w:rPr>
                <w:b/>
                <w:bCs/>
                <w:color w:val="FFFFFF" w:themeColor="background1"/>
              </w:rPr>
            </w:pPr>
            <w:r w:rsidRPr="00586D24">
              <w:rPr>
                <w:b/>
                <w:bCs/>
                <w:color w:val="FFFFFF" w:themeColor="background1"/>
              </w:rPr>
              <w:t>NC TAR</w:t>
            </w:r>
          </w:p>
        </w:tc>
        <w:tc>
          <w:tcPr>
            <w:tcW w:w="2242" w:type="dxa"/>
            <w:shd w:val="clear" w:color="auto" w:fill="00A984"/>
          </w:tcPr>
          <w:p w14:paraId="34F5869C" w14:textId="77777777" w:rsidR="00D36720" w:rsidRPr="00586D24" w:rsidRDefault="00D36720" w:rsidP="000E7C4C">
            <w:pPr>
              <w:rPr>
                <w:b/>
                <w:bCs/>
                <w:color w:val="FFFFFF" w:themeColor="background1"/>
              </w:rPr>
            </w:pPr>
            <w:r w:rsidRPr="00586D24">
              <w:rPr>
                <w:b/>
                <w:bCs/>
                <w:color w:val="FFFFFF" w:themeColor="background1"/>
              </w:rPr>
              <w:t>Beschreibung</w:t>
            </w:r>
          </w:p>
        </w:tc>
        <w:tc>
          <w:tcPr>
            <w:tcW w:w="4394" w:type="dxa"/>
            <w:shd w:val="clear" w:color="auto" w:fill="00A984"/>
          </w:tcPr>
          <w:p w14:paraId="4A39EE35" w14:textId="77777777" w:rsidR="00D36720" w:rsidRPr="00586D24" w:rsidRDefault="00D36720" w:rsidP="000E7C4C">
            <w:pPr>
              <w:rPr>
                <w:b/>
                <w:bCs/>
                <w:color w:val="FFFFFF" w:themeColor="background1"/>
              </w:rPr>
            </w:pPr>
            <w:r w:rsidRPr="00586D24">
              <w:rPr>
                <w:b/>
                <w:bCs/>
                <w:color w:val="FFFFFF" w:themeColor="background1"/>
              </w:rPr>
              <w:t>Information/Link</w:t>
            </w:r>
          </w:p>
        </w:tc>
        <w:tc>
          <w:tcPr>
            <w:tcW w:w="1984" w:type="dxa"/>
            <w:shd w:val="clear" w:color="auto" w:fill="00A984"/>
          </w:tcPr>
          <w:p w14:paraId="2B74316F" w14:textId="77777777" w:rsidR="00D36720" w:rsidRPr="00586D24" w:rsidRDefault="00D36720" w:rsidP="000E7C4C">
            <w:pPr>
              <w:rPr>
                <w:b/>
                <w:bCs/>
                <w:color w:val="FFFFFF" w:themeColor="background1"/>
              </w:rPr>
            </w:pPr>
            <w:r w:rsidRPr="00586D24">
              <w:rPr>
                <w:b/>
                <w:bCs/>
                <w:color w:val="FFFFFF" w:themeColor="background1"/>
              </w:rPr>
              <w:t>Description</w:t>
            </w:r>
          </w:p>
        </w:tc>
        <w:tc>
          <w:tcPr>
            <w:tcW w:w="5103" w:type="dxa"/>
            <w:shd w:val="clear" w:color="auto" w:fill="00A984"/>
          </w:tcPr>
          <w:p w14:paraId="2399426C" w14:textId="77777777" w:rsidR="00D36720" w:rsidRPr="00586D24" w:rsidRDefault="00D36720" w:rsidP="000E7C4C">
            <w:pPr>
              <w:rPr>
                <w:b/>
                <w:bCs/>
                <w:color w:val="FFFFFF" w:themeColor="background1"/>
              </w:rPr>
            </w:pPr>
            <w:r w:rsidRPr="00586D24">
              <w:rPr>
                <w:b/>
                <w:bCs/>
                <w:color w:val="FFFFFF" w:themeColor="background1"/>
              </w:rPr>
              <w:t>Information/Link</w:t>
            </w:r>
          </w:p>
        </w:tc>
      </w:tr>
      <w:tr w:rsidR="00D36720" w:rsidRPr="000F6EE8" w14:paraId="7E9458C5" w14:textId="77777777" w:rsidTr="00387056">
        <w:trPr>
          <w:trHeight w:val="1731"/>
        </w:trPr>
        <w:tc>
          <w:tcPr>
            <w:tcW w:w="1161" w:type="dxa"/>
          </w:tcPr>
          <w:p w14:paraId="17C7C6B2" w14:textId="77777777" w:rsidR="00D36720" w:rsidRPr="00586D24" w:rsidRDefault="00D36720" w:rsidP="000E7C4C">
            <w:pPr>
              <w:rPr>
                <w:b/>
                <w:bCs/>
                <w:color w:val="00A984"/>
                <w:sz w:val="20"/>
                <w:szCs w:val="20"/>
              </w:rPr>
            </w:pPr>
            <w:r w:rsidRPr="00586D24">
              <w:rPr>
                <w:b/>
                <w:bCs/>
                <w:color w:val="00A984"/>
                <w:sz w:val="20"/>
                <w:szCs w:val="20"/>
              </w:rPr>
              <w:t xml:space="preserve">Art. </w:t>
            </w:r>
            <w:r>
              <w:rPr>
                <w:b/>
                <w:bCs/>
                <w:color w:val="00A984"/>
                <w:sz w:val="20"/>
                <w:szCs w:val="20"/>
              </w:rPr>
              <w:t>30 (1)(a</w:t>
            </w:r>
            <w:r w:rsidRPr="00586D24">
              <w:rPr>
                <w:b/>
                <w:bCs/>
                <w:color w:val="00A984"/>
                <w:sz w:val="20"/>
                <w:szCs w:val="20"/>
              </w:rPr>
              <w:t>)</w:t>
            </w:r>
          </w:p>
        </w:tc>
        <w:tc>
          <w:tcPr>
            <w:tcW w:w="2242" w:type="dxa"/>
          </w:tcPr>
          <w:p w14:paraId="661E472B" w14:textId="77777777" w:rsidR="00D36720" w:rsidRPr="0053622B" w:rsidRDefault="00D36720" w:rsidP="000E7C4C">
            <w:pPr>
              <w:rPr>
                <w:sz w:val="20"/>
                <w:szCs w:val="20"/>
              </w:rPr>
            </w:pPr>
            <w:r w:rsidRPr="0053622B">
              <w:rPr>
                <w:sz w:val="20"/>
                <w:szCs w:val="20"/>
              </w:rPr>
              <w:t>Informationen zu den in der angewandten Referenzpreismethode verwendeten Parametern</w:t>
            </w:r>
          </w:p>
        </w:tc>
        <w:tc>
          <w:tcPr>
            <w:tcW w:w="4394" w:type="dxa"/>
          </w:tcPr>
          <w:p w14:paraId="329D38C7" w14:textId="39911345" w:rsidR="00D36720" w:rsidRPr="0053622B" w:rsidRDefault="00D36720" w:rsidP="000E7C4C">
            <w:pPr>
              <w:rPr>
                <w:sz w:val="20"/>
                <w:szCs w:val="20"/>
              </w:rPr>
            </w:pPr>
            <w:r w:rsidRPr="007339E4">
              <w:rPr>
                <w:sz w:val="20"/>
                <w:szCs w:val="20"/>
              </w:rPr>
              <w:t xml:space="preserve">Alle genutzten Eingangsparameter (insb. Kapazitätsprognosen) sind im </w:t>
            </w:r>
            <w:hyperlink r:id="rId21" w:history="1">
              <w:r w:rsidRPr="007339E4">
                <w:rPr>
                  <w:rStyle w:val="Hyperlink"/>
                  <w:sz w:val="20"/>
                  <w:szCs w:val="20"/>
                </w:rPr>
                <w:t>vereinfachtem Entgeltmodell</w:t>
              </w:r>
            </w:hyperlink>
            <w:r w:rsidRPr="007339E4">
              <w:rPr>
                <w:sz w:val="20"/>
                <w:szCs w:val="20"/>
              </w:rPr>
              <w:t xml:space="preserve"> enthalten</w:t>
            </w:r>
            <w:r>
              <w:rPr>
                <w:sz w:val="20"/>
                <w:szCs w:val="20"/>
              </w:rPr>
              <w:t>.</w:t>
            </w:r>
          </w:p>
        </w:tc>
        <w:tc>
          <w:tcPr>
            <w:tcW w:w="1984" w:type="dxa"/>
          </w:tcPr>
          <w:p w14:paraId="5498034F" w14:textId="77777777" w:rsidR="00D36720" w:rsidRPr="007339E4" w:rsidRDefault="00D36720" w:rsidP="000E7C4C">
            <w:pPr>
              <w:rPr>
                <w:sz w:val="20"/>
                <w:szCs w:val="20"/>
                <w:lang w:val="en-GB"/>
              </w:rPr>
            </w:pPr>
            <w:r w:rsidRPr="007339E4">
              <w:rPr>
                <w:sz w:val="20"/>
                <w:szCs w:val="20"/>
                <w:lang w:val="en-GB"/>
              </w:rPr>
              <w:t>Information on parameters used in the applied reference price methodology related to the technical characteristics of the transmission system</w:t>
            </w:r>
          </w:p>
        </w:tc>
        <w:tc>
          <w:tcPr>
            <w:tcW w:w="5103" w:type="dxa"/>
          </w:tcPr>
          <w:p w14:paraId="66C3BF72" w14:textId="0AF92D83" w:rsidR="00D36720" w:rsidRPr="00867109" w:rsidRDefault="00D36720" w:rsidP="000E7C4C">
            <w:pPr>
              <w:rPr>
                <w:sz w:val="20"/>
                <w:szCs w:val="20"/>
                <w:lang w:val="en-GB"/>
              </w:rPr>
            </w:pPr>
            <w:r w:rsidRPr="00B54B24">
              <w:rPr>
                <w:sz w:val="20"/>
                <w:szCs w:val="20"/>
                <w:lang w:val="en-GB"/>
              </w:rPr>
              <w:t xml:space="preserve">All used input parameters (i.e. forecasted contracted capacity) are included in </w:t>
            </w:r>
            <w:hyperlink r:id="rId22" w:history="1">
              <w:r w:rsidRPr="00B54B24">
                <w:rPr>
                  <w:rStyle w:val="Hyperlink"/>
                  <w:sz w:val="20"/>
                  <w:szCs w:val="20"/>
                  <w:lang w:val="en-GB"/>
                </w:rPr>
                <w:t>the simplified model.</w:t>
              </w:r>
            </w:hyperlink>
          </w:p>
        </w:tc>
      </w:tr>
      <w:tr w:rsidR="00D36720" w:rsidRPr="00640694" w14:paraId="55B702F4" w14:textId="77777777" w:rsidTr="00387056">
        <w:tblPrEx>
          <w:tblCellMar>
            <w:left w:w="70" w:type="dxa"/>
            <w:right w:w="70" w:type="dxa"/>
          </w:tblCellMar>
        </w:tblPrEx>
        <w:tc>
          <w:tcPr>
            <w:tcW w:w="1161" w:type="dxa"/>
          </w:tcPr>
          <w:p w14:paraId="1C1E6E09" w14:textId="77777777" w:rsidR="00D36720" w:rsidRPr="003F0E2F" w:rsidRDefault="00D36720" w:rsidP="000E7C4C">
            <w:pPr>
              <w:rPr>
                <w:b/>
                <w:bCs/>
                <w:color w:val="00A984"/>
                <w:sz w:val="20"/>
                <w:szCs w:val="20"/>
              </w:rPr>
            </w:pPr>
            <w:r w:rsidRPr="003F0E2F">
              <w:rPr>
                <w:b/>
                <w:bCs/>
                <w:color w:val="00A984"/>
                <w:sz w:val="20"/>
                <w:szCs w:val="20"/>
              </w:rPr>
              <w:t>Art. 30 (1)(a)i)</w:t>
            </w:r>
          </w:p>
          <w:p w14:paraId="56701B78" w14:textId="77777777" w:rsidR="00D36720" w:rsidRPr="00586D24" w:rsidRDefault="00D36720" w:rsidP="000E7C4C">
            <w:pPr>
              <w:rPr>
                <w:b/>
                <w:bCs/>
                <w:color w:val="00A984"/>
                <w:sz w:val="20"/>
                <w:szCs w:val="20"/>
              </w:rPr>
            </w:pPr>
          </w:p>
        </w:tc>
        <w:tc>
          <w:tcPr>
            <w:tcW w:w="2242" w:type="dxa"/>
          </w:tcPr>
          <w:p w14:paraId="25DAC062" w14:textId="77777777" w:rsidR="00D36720" w:rsidRPr="0053622B" w:rsidRDefault="00D36720" w:rsidP="000E7C4C">
            <w:pPr>
              <w:rPr>
                <w:sz w:val="20"/>
                <w:szCs w:val="20"/>
              </w:rPr>
            </w:pPr>
            <w:r w:rsidRPr="0053622B">
              <w:rPr>
                <w:sz w:val="20"/>
                <w:szCs w:val="20"/>
              </w:rPr>
              <w:t>Die technische Kapazität an den Ein- und Ausspeisepunkten und die damit verbundenen Annahmen</w:t>
            </w:r>
          </w:p>
        </w:tc>
        <w:tc>
          <w:tcPr>
            <w:tcW w:w="4394" w:type="dxa"/>
          </w:tcPr>
          <w:p w14:paraId="541337C2" w14:textId="77777777" w:rsidR="00D36720" w:rsidRPr="0053622B" w:rsidRDefault="00D36720" w:rsidP="000E7C4C">
            <w:pPr>
              <w:rPr>
                <w:sz w:val="20"/>
                <w:szCs w:val="20"/>
              </w:rPr>
            </w:pPr>
            <w:r w:rsidRPr="00B3790D">
              <w:rPr>
                <w:sz w:val="20"/>
                <w:szCs w:val="20"/>
              </w:rPr>
              <w:t>Diese Angabe ist für das Briefmarkenmodell ohne Relevanz, da es sich hierbei um keinen Eingangsparameter für die Referenzpreismethode handelt.</w:t>
            </w:r>
          </w:p>
        </w:tc>
        <w:tc>
          <w:tcPr>
            <w:tcW w:w="1984" w:type="dxa"/>
          </w:tcPr>
          <w:p w14:paraId="004EE43F" w14:textId="77777777" w:rsidR="00D36720" w:rsidRPr="007339E4" w:rsidRDefault="00D36720" w:rsidP="000E7C4C">
            <w:pPr>
              <w:rPr>
                <w:sz w:val="20"/>
                <w:szCs w:val="20"/>
                <w:lang w:val="en-GB"/>
              </w:rPr>
            </w:pPr>
            <w:r w:rsidRPr="007339E4">
              <w:rPr>
                <w:sz w:val="20"/>
                <w:szCs w:val="20"/>
                <w:lang w:val="en-GB"/>
              </w:rPr>
              <w:t>Technical capacity at entry and exit points and associated assumptions</w:t>
            </w:r>
          </w:p>
        </w:tc>
        <w:tc>
          <w:tcPr>
            <w:tcW w:w="5103" w:type="dxa"/>
          </w:tcPr>
          <w:p w14:paraId="6D970566" w14:textId="2371E98A" w:rsidR="00D36720" w:rsidRPr="00867109" w:rsidRDefault="00F11DFC" w:rsidP="000E7C4C">
            <w:pPr>
              <w:rPr>
                <w:sz w:val="20"/>
                <w:szCs w:val="20"/>
                <w:lang w:val="en-GB"/>
              </w:rPr>
            </w:pPr>
            <w:r w:rsidRPr="00F11DFC">
              <w:rPr>
                <w:lang w:val="en-GB"/>
              </w:rPr>
              <w:t xml:space="preserve">This parameter is not used in the postage stamp reference price methodology. </w:t>
            </w:r>
            <w:r w:rsidRPr="00F11DFC">
              <w:t>Consequently, the publication is neither possible nor necessary.</w:t>
            </w:r>
          </w:p>
        </w:tc>
      </w:tr>
      <w:tr w:rsidR="00D36720" w:rsidRPr="000F6EE8" w14:paraId="69E8FD66" w14:textId="77777777" w:rsidTr="00387056">
        <w:tblPrEx>
          <w:tblCellMar>
            <w:left w:w="70" w:type="dxa"/>
            <w:right w:w="70" w:type="dxa"/>
          </w:tblCellMar>
        </w:tblPrEx>
        <w:tc>
          <w:tcPr>
            <w:tcW w:w="1161" w:type="dxa"/>
          </w:tcPr>
          <w:p w14:paraId="68F93E41" w14:textId="77777777" w:rsidR="00D36720" w:rsidRPr="003F0E2F" w:rsidRDefault="00D36720" w:rsidP="000E7C4C">
            <w:pPr>
              <w:rPr>
                <w:b/>
                <w:bCs/>
                <w:color w:val="00A984"/>
                <w:sz w:val="20"/>
                <w:szCs w:val="20"/>
              </w:rPr>
            </w:pPr>
            <w:r w:rsidRPr="003F0E2F">
              <w:rPr>
                <w:b/>
                <w:bCs/>
                <w:color w:val="00A984"/>
                <w:sz w:val="20"/>
                <w:szCs w:val="20"/>
              </w:rPr>
              <w:t>Art. 30 (1)(a)ii)</w:t>
            </w:r>
          </w:p>
          <w:p w14:paraId="3CD627DE" w14:textId="77777777" w:rsidR="00D36720" w:rsidRPr="00586D24" w:rsidRDefault="00D36720" w:rsidP="000E7C4C">
            <w:pPr>
              <w:rPr>
                <w:b/>
                <w:bCs/>
                <w:color w:val="00A984"/>
                <w:sz w:val="20"/>
                <w:szCs w:val="20"/>
              </w:rPr>
            </w:pPr>
          </w:p>
        </w:tc>
        <w:tc>
          <w:tcPr>
            <w:tcW w:w="2242" w:type="dxa"/>
          </w:tcPr>
          <w:p w14:paraId="7EC44AD5" w14:textId="77777777" w:rsidR="00D36720" w:rsidRPr="0053622B" w:rsidRDefault="00D36720" w:rsidP="000E7C4C">
            <w:pPr>
              <w:rPr>
                <w:sz w:val="20"/>
                <w:szCs w:val="20"/>
              </w:rPr>
            </w:pPr>
            <w:r w:rsidRPr="0053622B">
              <w:rPr>
                <w:sz w:val="20"/>
                <w:szCs w:val="20"/>
              </w:rPr>
              <w:t>Die prognostizierte kontrahierte Kapazität an den Ein- und Ausspeisepunkten und die damit verbundenen Annahmen</w:t>
            </w:r>
          </w:p>
        </w:tc>
        <w:tc>
          <w:tcPr>
            <w:tcW w:w="4394" w:type="dxa"/>
          </w:tcPr>
          <w:p w14:paraId="4B77CFC1" w14:textId="77777777" w:rsidR="00D36720" w:rsidRPr="005C4F32" w:rsidRDefault="00D36720" w:rsidP="000E7C4C">
            <w:pPr>
              <w:rPr>
                <w:sz w:val="20"/>
                <w:szCs w:val="20"/>
              </w:rPr>
            </w:pPr>
            <w:r w:rsidRPr="005C4F32">
              <w:rPr>
                <w:sz w:val="20"/>
                <w:szCs w:val="20"/>
              </w:rPr>
              <w:t>Die prognostizierte gebuchte Kapazität ist gewichtet und berücksichtigt die MARGIT-Multiplikatoren sowie die entsprechenden Rabattierungen für unterbrechbare Kapazitäten und Sonderprodukte.</w:t>
            </w:r>
          </w:p>
          <w:p w14:paraId="4E69FB0D" w14:textId="77777777" w:rsidR="00D36720" w:rsidRPr="005C4F32" w:rsidRDefault="00D36720" w:rsidP="000E7C4C">
            <w:pPr>
              <w:rPr>
                <w:sz w:val="20"/>
                <w:szCs w:val="20"/>
              </w:rPr>
            </w:pPr>
          </w:p>
          <w:p w14:paraId="348D0696" w14:textId="77777777" w:rsidR="00F03C6A" w:rsidRPr="005C4F32" w:rsidRDefault="00D36720" w:rsidP="000E7C4C">
            <w:pPr>
              <w:rPr>
                <w:sz w:val="20"/>
                <w:szCs w:val="20"/>
              </w:rPr>
            </w:pPr>
            <w:r w:rsidRPr="005C4F32">
              <w:rPr>
                <w:sz w:val="20"/>
                <w:szCs w:val="20"/>
              </w:rPr>
              <w:t>202</w:t>
            </w:r>
            <w:r w:rsidR="00715181">
              <w:rPr>
                <w:sz w:val="20"/>
                <w:szCs w:val="20"/>
              </w:rPr>
              <w:t>4</w:t>
            </w:r>
            <w:r w:rsidRPr="005C4F32">
              <w:rPr>
                <w:sz w:val="20"/>
                <w:szCs w:val="20"/>
              </w:rPr>
              <w:t xml:space="preserve"> Prognostizierte gebuchte Einspeisekapazität: </w:t>
            </w:r>
          </w:p>
          <w:p w14:paraId="3594BD64" w14:textId="0874FE40" w:rsidR="00D36720" w:rsidRPr="005C4F32" w:rsidRDefault="00E84E84" w:rsidP="000E7C4C">
            <w:pPr>
              <w:rPr>
                <w:sz w:val="20"/>
                <w:szCs w:val="20"/>
              </w:rPr>
            </w:pPr>
            <w:r w:rsidRPr="000F6EE8">
              <w:rPr>
                <w:sz w:val="20"/>
                <w:szCs w:val="20"/>
              </w:rPr>
              <w:t>144,550,707 kWh/h</w:t>
            </w:r>
          </w:p>
          <w:p w14:paraId="076B1409" w14:textId="77777777" w:rsidR="003F37C0" w:rsidRPr="005C4F32" w:rsidRDefault="00D36720" w:rsidP="000E7C4C">
            <w:pPr>
              <w:rPr>
                <w:sz w:val="20"/>
                <w:szCs w:val="20"/>
              </w:rPr>
            </w:pPr>
            <w:r w:rsidRPr="005C4F32">
              <w:rPr>
                <w:sz w:val="20"/>
                <w:szCs w:val="20"/>
              </w:rPr>
              <w:t>202</w:t>
            </w:r>
            <w:r w:rsidR="00F03C6A">
              <w:rPr>
                <w:sz w:val="20"/>
                <w:szCs w:val="20"/>
              </w:rPr>
              <w:t>4</w:t>
            </w:r>
            <w:r w:rsidRPr="005C4F32">
              <w:rPr>
                <w:sz w:val="20"/>
                <w:szCs w:val="20"/>
              </w:rPr>
              <w:t xml:space="preserve"> Prognostizierte gebuchte Ausspeisekapazität: </w:t>
            </w:r>
          </w:p>
          <w:p w14:paraId="5EDB6F3C" w14:textId="77777777" w:rsidR="007C7C56" w:rsidRPr="005C4F32" w:rsidRDefault="007C7C56" w:rsidP="007C7C56">
            <w:pPr>
              <w:rPr>
                <w:sz w:val="20"/>
                <w:szCs w:val="20"/>
                <w:lang w:val="en-GB"/>
              </w:rPr>
            </w:pPr>
            <w:r w:rsidRPr="007C7C56">
              <w:rPr>
                <w:sz w:val="20"/>
                <w:szCs w:val="20"/>
                <w:lang w:val="en-GB"/>
              </w:rPr>
              <w:t xml:space="preserve">329.441.161 </w:t>
            </w:r>
            <w:r w:rsidRPr="00A77C5F">
              <w:rPr>
                <w:sz w:val="20"/>
                <w:szCs w:val="20"/>
                <w:lang w:val="en-GB"/>
              </w:rPr>
              <w:t>kWh/h</w:t>
            </w:r>
          </w:p>
          <w:p w14:paraId="7A1A483B" w14:textId="77777777" w:rsidR="00D36720" w:rsidRPr="000F6EE8" w:rsidRDefault="00D36720" w:rsidP="000E7C4C">
            <w:pPr>
              <w:rPr>
                <w:sz w:val="20"/>
                <w:szCs w:val="20"/>
                <w:lang w:val="en-US"/>
              </w:rPr>
            </w:pPr>
          </w:p>
          <w:p w14:paraId="5D51F046" w14:textId="77777777" w:rsidR="00D36720" w:rsidRPr="000F6EE8" w:rsidRDefault="00D36720" w:rsidP="000E7C4C">
            <w:pPr>
              <w:rPr>
                <w:sz w:val="20"/>
                <w:szCs w:val="20"/>
                <w:lang w:val="en-US"/>
              </w:rPr>
            </w:pPr>
            <w:r w:rsidRPr="000F6EE8">
              <w:rPr>
                <w:sz w:val="20"/>
                <w:szCs w:val="20"/>
                <w:lang w:val="en-US"/>
              </w:rPr>
              <w:t>Virtual Interconnection Points (VIP)</w:t>
            </w:r>
          </w:p>
          <w:p w14:paraId="2B7B9C8D" w14:textId="77777777" w:rsidR="00D36720" w:rsidRPr="005C4F32" w:rsidRDefault="00D36720" w:rsidP="000E7C4C">
            <w:pPr>
              <w:rPr>
                <w:sz w:val="20"/>
                <w:szCs w:val="20"/>
              </w:rPr>
            </w:pPr>
            <w:r w:rsidRPr="005C4F32">
              <w:rPr>
                <w:sz w:val="20"/>
                <w:szCs w:val="20"/>
              </w:rPr>
              <w:t>Die Ermittlung der Kapazitätsprognose erfolgt nach den Regeln des Art. 22 NC TAR.</w:t>
            </w:r>
          </w:p>
        </w:tc>
        <w:tc>
          <w:tcPr>
            <w:tcW w:w="1984" w:type="dxa"/>
          </w:tcPr>
          <w:p w14:paraId="40318F03" w14:textId="77777777" w:rsidR="00D36720" w:rsidRPr="005C4F32" w:rsidRDefault="00D36720" w:rsidP="000E7C4C">
            <w:pPr>
              <w:rPr>
                <w:sz w:val="20"/>
                <w:szCs w:val="20"/>
                <w:lang w:val="en-GB"/>
              </w:rPr>
            </w:pPr>
            <w:r w:rsidRPr="005C4F32">
              <w:rPr>
                <w:sz w:val="20"/>
                <w:szCs w:val="20"/>
                <w:lang w:val="en-GB"/>
              </w:rPr>
              <w:t>Forecast contracted capacity at entry and exit points and associated assumptions</w:t>
            </w:r>
          </w:p>
        </w:tc>
        <w:tc>
          <w:tcPr>
            <w:tcW w:w="5103" w:type="dxa"/>
          </w:tcPr>
          <w:p w14:paraId="48482BFF" w14:textId="77777777" w:rsidR="00D36720" w:rsidRPr="005C4F32" w:rsidRDefault="00D36720" w:rsidP="000E7C4C">
            <w:pPr>
              <w:rPr>
                <w:sz w:val="20"/>
                <w:szCs w:val="20"/>
                <w:lang w:val="en-GB"/>
              </w:rPr>
            </w:pPr>
            <w:r w:rsidRPr="005C4F32">
              <w:rPr>
                <w:sz w:val="20"/>
                <w:szCs w:val="20"/>
                <w:lang w:val="en-GB"/>
              </w:rPr>
              <w:t>The forecasted booked capacity is weighted and takes into account MARGIT Factors as well as the corresponding discounts for interruptible capacities and special products.</w:t>
            </w:r>
          </w:p>
          <w:p w14:paraId="13CCC189" w14:textId="77777777" w:rsidR="00D36720" w:rsidRPr="005C4F32" w:rsidRDefault="00D36720" w:rsidP="000E7C4C">
            <w:pPr>
              <w:rPr>
                <w:sz w:val="20"/>
                <w:szCs w:val="20"/>
                <w:lang w:val="en-GB"/>
              </w:rPr>
            </w:pPr>
          </w:p>
          <w:p w14:paraId="31296DD3" w14:textId="1A5D99B8" w:rsidR="00D36720" w:rsidRPr="00A77C5F" w:rsidRDefault="00D36720" w:rsidP="000E7C4C">
            <w:pPr>
              <w:rPr>
                <w:sz w:val="20"/>
                <w:szCs w:val="20"/>
                <w:lang w:val="en-GB"/>
              </w:rPr>
            </w:pPr>
            <w:r w:rsidRPr="005C4F32">
              <w:rPr>
                <w:sz w:val="20"/>
                <w:szCs w:val="20"/>
                <w:lang w:val="en-GB"/>
              </w:rPr>
              <w:t>202</w:t>
            </w:r>
            <w:r w:rsidR="00AE1771">
              <w:rPr>
                <w:sz w:val="20"/>
                <w:szCs w:val="20"/>
                <w:lang w:val="en-GB"/>
              </w:rPr>
              <w:t>5</w:t>
            </w:r>
            <w:r w:rsidRPr="005C4F32">
              <w:rPr>
                <w:sz w:val="20"/>
                <w:szCs w:val="20"/>
                <w:lang w:val="en-GB"/>
              </w:rPr>
              <w:t xml:space="preserve"> Forecasted booked capacity in Entry direction: </w:t>
            </w:r>
            <w:r w:rsidR="00540E4C" w:rsidRPr="00E84E84">
              <w:rPr>
                <w:sz w:val="20"/>
                <w:szCs w:val="20"/>
                <w:lang w:val="en-GB"/>
              </w:rPr>
              <w:t xml:space="preserve">144,550,707 </w:t>
            </w:r>
            <w:r w:rsidR="00A77C5F" w:rsidRPr="00A77C5F">
              <w:rPr>
                <w:sz w:val="20"/>
                <w:szCs w:val="20"/>
                <w:lang w:val="en-GB"/>
              </w:rPr>
              <w:t>kWh/h</w:t>
            </w:r>
          </w:p>
          <w:p w14:paraId="1D671551" w14:textId="77777777" w:rsidR="00D36720" w:rsidRPr="005C4F32" w:rsidRDefault="00D36720" w:rsidP="000E7C4C">
            <w:pPr>
              <w:rPr>
                <w:sz w:val="20"/>
                <w:szCs w:val="20"/>
                <w:lang w:val="en-GB"/>
              </w:rPr>
            </w:pPr>
          </w:p>
          <w:p w14:paraId="29768482" w14:textId="024BC009" w:rsidR="00A77C5F" w:rsidRDefault="00D36720" w:rsidP="000E7C4C">
            <w:pPr>
              <w:rPr>
                <w:sz w:val="20"/>
                <w:szCs w:val="20"/>
                <w:lang w:val="en-GB"/>
              </w:rPr>
            </w:pPr>
            <w:r w:rsidRPr="005C4F32">
              <w:rPr>
                <w:sz w:val="20"/>
                <w:szCs w:val="20"/>
                <w:lang w:val="en-GB"/>
              </w:rPr>
              <w:t>202</w:t>
            </w:r>
            <w:r w:rsidR="00AE1771">
              <w:rPr>
                <w:sz w:val="20"/>
                <w:szCs w:val="20"/>
                <w:lang w:val="en-GB"/>
              </w:rPr>
              <w:t>5</w:t>
            </w:r>
            <w:r w:rsidRPr="005C4F32">
              <w:rPr>
                <w:sz w:val="20"/>
                <w:szCs w:val="20"/>
                <w:lang w:val="en-GB"/>
              </w:rPr>
              <w:t xml:space="preserve"> Forecasted booked capacity in Exit direction: </w:t>
            </w:r>
          </w:p>
          <w:p w14:paraId="16A979DA" w14:textId="58C85F90" w:rsidR="00D36720" w:rsidRPr="005C4F32" w:rsidRDefault="007C7C56" w:rsidP="000E7C4C">
            <w:pPr>
              <w:rPr>
                <w:sz w:val="20"/>
                <w:szCs w:val="20"/>
                <w:lang w:val="en-GB"/>
              </w:rPr>
            </w:pPr>
            <w:r w:rsidRPr="007C7C56">
              <w:rPr>
                <w:sz w:val="20"/>
                <w:szCs w:val="20"/>
                <w:lang w:val="en-GB"/>
              </w:rPr>
              <w:t xml:space="preserve">329.441.161 </w:t>
            </w:r>
            <w:r w:rsidR="00A77C5F" w:rsidRPr="00A77C5F">
              <w:rPr>
                <w:sz w:val="20"/>
                <w:szCs w:val="20"/>
                <w:lang w:val="en-GB"/>
              </w:rPr>
              <w:t>kWh/h</w:t>
            </w:r>
          </w:p>
          <w:p w14:paraId="69396B8A" w14:textId="77777777" w:rsidR="00F11DFC" w:rsidRPr="005C4F32" w:rsidRDefault="00F11DFC" w:rsidP="000E7C4C">
            <w:pPr>
              <w:rPr>
                <w:sz w:val="20"/>
                <w:szCs w:val="20"/>
                <w:lang w:val="en-GB"/>
              </w:rPr>
            </w:pPr>
          </w:p>
          <w:p w14:paraId="127C757E" w14:textId="77777777" w:rsidR="00F11DFC" w:rsidRPr="005C4F32" w:rsidRDefault="00F11DFC" w:rsidP="00F11DFC">
            <w:pPr>
              <w:rPr>
                <w:sz w:val="20"/>
                <w:szCs w:val="20"/>
                <w:lang w:val="en-GB"/>
              </w:rPr>
            </w:pPr>
            <w:r w:rsidRPr="005C4F32">
              <w:rPr>
                <w:sz w:val="20"/>
                <w:szCs w:val="20"/>
                <w:lang w:val="en-GB"/>
              </w:rPr>
              <w:t>Virtual Interconnection Points (VIP)</w:t>
            </w:r>
          </w:p>
          <w:p w14:paraId="7EB46739" w14:textId="4BB4107B" w:rsidR="00D36720" w:rsidRPr="005C4F32" w:rsidRDefault="00F11DFC" w:rsidP="00F11DFC">
            <w:pPr>
              <w:rPr>
                <w:sz w:val="20"/>
                <w:szCs w:val="20"/>
                <w:lang w:val="en-GB"/>
              </w:rPr>
            </w:pPr>
            <w:r w:rsidRPr="005C4F32">
              <w:rPr>
                <w:sz w:val="20"/>
                <w:szCs w:val="20"/>
                <w:lang w:val="en-GB"/>
              </w:rPr>
              <w:t>The determination of the capacity forecast is based on the rules of Art. 22 NC TAR.</w:t>
            </w:r>
          </w:p>
        </w:tc>
      </w:tr>
      <w:tr w:rsidR="00D36720" w:rsidRPr="00867109" w14:paraId="00A66CDC" w14:textId="77777777" w:rsidTr="00387056">
        <w:tblPrEx>
          <w:tblCellMar>
            <w:left w:w="70" w:type="dxa"/>
            <w:right w:w="70" w:type="dxa"/>
          </w:tblCellMar>
        </w:tblPrEx>
        <w:tc>
          <w:tcPr>
            <w:tcW w:w="1161" w:type="dxa"/>
          </w:tcPr>
          <w:p w14:paraId="2A4E3076" w14:textId="77777777" w:rsidR="00D36720" w:rsidRPr="003F0E2F" w:rsidRDefault="00D36720" w:rsidP="000E7C4C">
            <w:pPr>
              <w:rPr>
                <w:b/>
                <w:bCs/>
                <w:color w:val="00A984"/>
                <w:sz w:val="20"/>
                <w:szCs w:val="20"/>
              </w:rPr>
            </w:pPr>
            <w:r w:rsidRPr="003F0E2F">
              <w:rPr>
                <w:b/>
                <w:bCs/>
                <w:color w:val="00A984"/>
                <w:sz w:val="20"/>
                <w:szCs w:val="20"/>
              </w:rPr>
              <w:t>Art. 30 (1)(a)iii)</w:t>
            </w:r>
          </w:p>
          <w:p w14:paraId="14A5E2C1" w14:textId="77777777" w:rsidR="00D36720" w:rsidRPr="00586D24" w:rsidRDefault="00D36720" w:rsidP="000E7C4C">
            <w:pPr>
              <w:rPr>
                <w:b/>
                <w:bCs/>
                <w:color w:val="00A984"/>
                <w:sz w:val="20"/>
                <w:szCs w:val="20"/>
              </w:rPr>
            </w:pPr>
          </w:p>
        </w:tc>
        <w:tc>
          <w:tcPr>
            <w:tcW w:w="2242" w:type="dxa"/>
          </w:tcPr>
          <w:p w14:paraId="3AF8CF52" w14:textId="2112D668" w:rsidR="00D36720" w:rsidRPr="0053622B" w:rsidRDefault="00D36720" w:rsidP="000E7C4C">
            <w:pPr>
              <w:rPr>
                <w:sz w:val="20"/>
                <w:szCs w:val="20"/>
              </w:rPr>
            </w:pPr>
            <w:r w:rsidRPr="0053622B">
              <w:rPr>
                <w:sz w:val="20"/>
                <w:szCs w:val="20"/>
              </w:rPr>
              <w:t xml:space="preserve">Die Menge und Richtung des Gasflusses an Ein- und Ausspeisepunkten und die damit verbundenen Annahmen, wie z. B. Angebots- und Nachfrageszenarien für </w:t>
            </w:r>
            <w:r w:rsidRPr="0053622B">
              <w:rPr>
                <w:sz w:val="20"/>
                <w:szCs w:val="20"/>
              </w:rPr>
              <w:lastRenderedPageBreak/>
              <w:t>den Gasfluss zu Spitzenzeiten</w:t>
            </w:r>
          </w:p>
        </w:tc>
        <w:tc>
          <w:tcPr>
            <w:tcW w:w="4394" w:type="dxa"/>
          </w:tcPr>
          <w:p w14:paraId="76364205" w14:textId="77777777" w:rsidR="00D36720" w:rsidRPr="0053622B" w:rsidRDefault="00D36720" w:rsidP="000E7C4C">
            <w:pPr>
              <w:rPr>
                <w:sz w:val="20"/>
                <w:szCs w:val="20"/>
              </w:rPr>
            </w:pPr>
            <w:r w:rsidRPr="00B3790D">
              <w:rPr>
                <w:sz w:val="20"/>
                <w:szCs w:val="20"/>
              </w:rPr>
              <w:lastRenderedPageBreak/>
              <w:t>Diese Angabe ist für das Briefmarkenmodell ohne Relevanz, da es sich hierbei um keinen Eingangsparameter für die Referenzpreismethode handelt.</w:t>
            </w:r>
          </w:p>
        </w:tc>
        <w:tc>
          <w:tcPr>
            <w:tcW w:w="1984" w:type="dxa"/>
          </w:tcPr>
          <w:p w14:paraId="1A8FB3BA" w14:textId="77777777" w:rsidR="00D36720" w:rsidRPr="00B54B24" w:rsidRDefault="00D36720" w:rsidP="000E7C4C">
            <w:pPr>
              <w:rPr>
                <w:sz w:val="20"/>
                <w:szCs w:val="20"/>
                <w:lang w:val="en-GB"/>
              </w:rPr>
            </w:pPr>
            <w:r w:rsidRPr="00B54B24">
              <w:rPr>
                <w:sz w:val="20"/>
                <w:szCs w:val="20"/>
                <w:lang w:val="en-GB"/>
              </w:rPr>
              <w:t>The quantity and the direction of the gas flow for entry and exit points and associated assumptions</w:t>
            </w:r>
          </w:p>
        </w:tc>
        <w:tc>
          <w:tcPr>
            <w:tcW w:w="5103" w:type="dxa"/>
          </w:tcPr>
          <w:p w14:paraId="15EEAE6E" w14:textId="20463201" w:rsidR="00D36720" w:rsidRPr="00867109" w:rsidRDefault="00F11DFC" w:rsidP="000E7C4C">
            <w:pPr>
              <w:rPr>
                <w:sz w:val="20"/>
                <w:szCs w:val="20"/>
                <w:lang w:val="en-GB"/>
              </w:rPr>
            </w:pPr>
            <w:r w:rsidRPr="00F11DFC">
              <w:rPr>
                <w:sz w:val="20"/>
                <w:szCs w:val="20"/>
                <w:lang w:val="en-GB"/>
              </w:rPr>
              <w:t>This parameter is not used in the postage stamp reference price methodology. Consequently, the publication is neither possible nor necessary.</w:t>
            </w:r>
          </w:p>
        </w:tc>
      </w:tr>
      <w:tr w:rsidR="00D36720" w:rsidRPr="00640694" w14:paraId="20884712" w14:textId="77777777" w:rsidTr="00387056">
        <w:tblPrEx>
          <w:tblCellMar>
            <w:left w:w="70" w:type="dxa"/>
            <w:right w:w="70" w:type="dxa"/>
          </w:tblCellMar>
        </w:tblPrEx>
        <w:tc>
          <w:tcPr>
            <w:tcW w:w="1161" w:type="dxa"/>
          </w:tcPr>
          <w:p w14:paraId="0BAADE8F" w14:textId="77777777" w:rsidR="00D36720" w:rsidRPr="003F0E2F" w:rsidRDefault="00D36720" w:rsidP="000E7C4C">
            <w:pPr>
              <w:rPr>
                <w:b/>
                <w:bCs/>
                <w:color w:val="00A984"/>
                <w:sz w:val="20"/>
                <w:szCs w:val="20"/>
              </w:rPr>
            </w:pPr>
            <w:r w:rsidRPr="003F0E2F">
              <w:rPr>
                <w:b/>
                <w:bCs/>
                <w:color w:val="00A984"/>
                <w:sz w:val="20"/>
                <w:szCs w:val="20"/>
              </w:rPr>
              <w:t>Art. 30 (1)(a)iv)</w:t>
            </w:r>
          </w:p>
          <w:p w14:paraId="3528D4FD" w14:textId="77777777" w:rsidR="00D36720" w:rsidRPr="00586D24" w:rsidRDefault="00D36720" w:rsidP="000E7C4C">
            <w:pPr>
              <w:rPr>
                <w:b/>
                <w:bCs/>
                <w:color w:val="00A984"/>
                <w:sz w:val="20"/>
                <w:szCs w:val="20"/>
              </w:rPr>
            </w:pPr>
          </w:p>
        </w:tc>
        <w:tc>
          <w:tcPr>
            <w:tcW w:w="2242" w:type="dxa"/>
          </w:tcPr>
          <w:p w14:paraId="7A7FC65C" w14:textId="77777777" w:rsidR="00D36720" w:rsidRPr="0053622B" w:rsidRDefault="00D36720" w:rsidP="000E7C4C">
            <w:pPr>
              <w:rPr>
                <w:sz w:val="20"/>
                <w:szCs w:val="20"/>
              </w:rPr>
            </w:pPr>
            <w:r w:rsidRPr="0053622B">
              <w:rPr>
                <w:sz w:val="20"/>
                <w:szCs w:val="20"/>
              </w:rPr>
              <w:t>Eine ausreichend detaillierte Darstellung der Fernleitungsnetzstruktur</w:t>
            </w:r>
          </w:p>
        </w:tc>
        <w:tc>
          <w:tcPr>
            <w:tcW w:w="4394" w:type="dxa"/>
          </w:tcPr>
          <w:p w14:paraId="12E9B4D1" w14:textId="77777777" w:rsidR="00D36720" w:rsidRPr="005C4F32" w:rsidRDefault="00D36720" w:rsidP="000E7C4C">
            <w:pPr>
              <w:rPr>
                <w:sz w:val="20"/>
                <w:szCs w:val="20"/>
              </w:rPr>
            </w:pPr>
            <w:r w:rsidRPr="005C4F32">
              <w:rPr>
                <w:sz w:val="20"/>
                <w:szCs w:val="20"/>
              </w:rPr>
              <w:t>Diese Angabe ist für das Briefmarkenmodell ohne Relevanz, da es sich hierbei um keinen Eingangsparameter für die Referenzpreismethode handelt.</w:t>
            </w:r>
          </w:p>
        </w:tc>
        <w:tc>
          <w:tcPr>
            <w:tcW w:w="1984" w:type="dxa"/>
          </w:tcPr>
          <w:p w14:paraId="2ACA7BB0" w14:textId="77777777" w:rsidR="00D36720" w:rsidRPr="00B54B24" w:rsidRDefault="00D36720" w:rsidP="000E7C4C">
            <w:pPr>
              <w:rPr>
                <w:sz w:val="20"/>
                <w:szCs w:val="20"/>
                <w:lang w:val="en-GB"/>
              </w:rPr>
            </w:pPr>
            <w:r w:rsidRPr="00B54B24">
              <w:rPr>
                <w:sz w:val="20"/>
                <w:szCs w:val="20"/>
                <w:lang w:val="en-GB"/>
              </w:rPr>
              <w:t>The structural representation of the transmission network with an appropriate level of details</w:t>
            </w:r>
          </w:p>
        </w:tc>
        <w:tc>
          <w:tcPr>
            <w:tcW w:w="5103" w:type="dxa"/>
          </w:tcPr>
          <w:p w14:paraId="34F7C689" w14:textId="52F4E855" w:rsidR="00D36720" w:rsidRPr="00B54B24" w:rsidRDefault="00F11DFC" w:rsidP="000E7C4C">
            <w:pPr>
              <w:rPr>
                <w:sz w:val="20"/>
                <w:szCs w:val="20"/>
                <w:lang w:val="en-GB"/>
              </w:rPr>
            </w:pPr>
            <w:r w:rsidRPr="00F11DFC">
              <w:rPr>
                <w:lang w:val="en-GB"/>
              </w:rPr>
              <w:t xml:space="preserve">This parameter is not used in the postage stamp reference price methodology. </w:t>
            </w:r>
            <w:r w:rsidRPr="00F11DFC">
              <w:t>Consequently, the publication is neither possible nor necessary.</w:t>
            </w:r>
          </w:p>
        </w:tc>
      </w:tr>
      <w:tr w:rsidR="00D36720" w:rsidRPr="00867109" w14:paraId="3AE67D66" w14:textId="77777777" w:rsidTr="00387056">
        <w:tblPrEx>
          <w:tblCellMar>
            <w:left w:w="70" w:type="dxa"/>
            <w:right w:w="70" w:type="dxa"/>
          </w:tblCellMar>
        </w:tblPrEx>
        <w:tc>
          <w:tcPr>
            <w:tcW w:w="1161" w:type="dxa"/>
          </w:tcPr>
          <w:p w14:paraId="271B3417" w14:textId="77777777" w:rsidR="00D36720" w:rsidRPr="003F0E2F" w:rsidRDefault="00D36720" w:rsidP="000E7C4C">
            <w:pPr>
              <w:rPr>
                <w:b/>
                <w:bCs/>
                <w:color w:val="00A984"/>
                <w:sz w:val="20"/>
                <w:szCs w:val="20"/>
              </w:rPr>
            </w:pPr>
            <w:r w:rsidRPr="003F0E2F">
              <w:rPr>
                <w:b/>
                <w:bCs/>
                <w:color w:val="00A984"/>
                <w:sz w:val="20"/>
                <w:szCs w:val="20"/>
              </w:rPr>
              <w:t>Art. 30 (1)(a)v)</w:t>
            </w:r>
          </w:p>
          <w:p w14:paraId="59AA12D2" w14:textId="77777777" w:rsidR="00D36720" w:rsidRPr="00586D24" w:rsidRDefault="00D36720" w:rsidP="000E7C4C">
            <w:pPr>
              <w:rPr>
                <w:b/>
                <w:bCs/>
                <w:color w:val="00A984"/>
                <w:sz w:val="20"/>
                <w:szCs w:val="20"/>
              </w:rPr>
            </w:pPr>
          </w:p>
        </w:tc>
        <w:tc>
          <w:tcPr>
            <w:tcW w:w="2242" w:type="dxa"/>
          </w:tcPr>
          <w:p w14:paraId="6CA0F287" w14:textId="77777777" w:rsidR="00D36720" w:rsidRPr="0053622B" w:rsidRDefault="00D36720" w:rsidP="000E7C4C">
            <w:pPr>
              <w:rPr>
                <w:sz w:val="20"/>
                <w:szCs w:val="20"/>
              </w:rPr>
            </w:pPr>
            <w:r w:rsidRPr="0053622B">
              <w:rPr>
                <w:sz w:val="20"/>
                <w:szCs w:val="20"/>
              </w:rPr>
              <w:t>Zusätzliche technische Informationen zum Fernleitungsnetz wie Länge  und Durchmesser der Pipelines und Leistung der Verdichterstationen</w:t>
            </w:r>
          </w:p>
        </w:tc>
        <w:tc>
          <w:tcPr>
            <w:tcW w:w="4394" w:type="dxa"/>
          </w:tcPr>
          <w:p w14:paraId="758528FD" w14:textId="77777777" w:rsidR="00D36720" w:rsidRPr="005C4F32" w:rsidRDefault="00D36720" w:rsidP="000E7C4C">
            <w:pPr>
              <w:rPr>
                <w:sz w:val="20"/>
                <w:szCs w:val="20"/>
              </w:rPr>
            </w:pPr>
            <w:r w:rsidRPr="005C4F32">
              <w:rPr>
                <w:sz w:val="20"/>
                <w:szCs w:val="20"/>
              </w:rPr>
              <w:t>Diese Angabe ist für das Briefmarkenmodell ohne Relevanz, da es sich hierbei um keinen Eingangsparameter für die Referenzpreismethode handelt.</w:t>
            </w:r>
          </w:p>
        </w:tc>
        <w:tc>
          <w:tcPr>
            <w:tcW w:w="1984" w:type="dxa"/>
          </w:tcPr>
          <w:p w14:paraId="10826D2C" w14:textId="77777777" w:rsidR="00D36720" w:rsidRPr="00B54B24" w:rsidRDefault="00D36720" w:rsidP="000E7C4C">
            <w:pPr>
              <w:rPr>
                <w:sz w:val="20"/>
                <w:szCs w:val="20"/>
                <w:lang w:val="en-GB"/>
              </w:rPr>
            </w:pPr>
            <w:r w:rsidRPr="00B54B24">
              <w:rPr>
                <w:sz w:val="20"/>
                <w:szCs w:val="20"/>
                <w:lang w:val="en-GB"/>
              </w:rPr>
              <w:t>Additional technical information about the transmission network, such as the length and the diameter of pipelines and the power of compressor stations</w:t>
            </w:r>
          </w:p>
        </w:tc>
        <w:tc>
          <w:tcPr>
            <w:tcW w:w="5103" w:type="dxa"/>
          </w:tcPr>
          <w:p w14:paraId="6EB1ED38" w14:textId="14D05725" w:rsidR="00D36720" w:rsidRPr="00867109" w:rsidRDefault="00F11DFC" w:rsidP="000E7C4C">
            <w:pPr>
              <w:rPr>
                <w:sz w:val="20"/>
                <w:szCs w:val="20"/>
                <w:lang w:val="en-GB"/>
              </w:rPr>
            </w:pPr>
            <w:r w:rsidRPr="00F11DFC">
              <w:rPr>
                <w:lang w:val="en-GB"/>
              </w:rPr>
              <w:t xml:space="preserve">This parameter is not used in the postage stamp reference price methodology. </w:t>
            </w:r>
            <w:r w:rsidRPr="00F11DFC">
              <w:t>Consequently, the publication is neither possible nor necessary.</w:t>
            </w:r>
          </w:p>
        </w:tc>
      </w:tr>
      <w:tr w:rsidR="00D36720" w:rsidRPr="000F6EE8" w14:paraId="68453974" w14:textId="77777777" w:rsidTr="00387056">
        <w:tblPrEx>
          <w:tblCellMar>
            <w:left w:w="70" w:type="dxa"/>
            <w:right w:w="70" w:type="dxa"/>
          </w:tblCellMar>
        </w:tblPrEx>
        <w:tc>
          <w:tcPr>
            <w:tcW w:w="1161" w:type="dxa"/>
          </w:tcPr>
          <w:p w14:paraId="376575DE" w14:textId="77777777" w:rsidR="00D36720" w:rsidRPr="00BC120C" w:rsidRDefault="00D36720" w:rsidP="000E7C4C">
            <w:pPr>
              <w:rPr>
                <w:b/>
                <w:bCs/>
                <w:color w:val="00A984"/>
                <w:sz w:val="20"/>
                <w:szCs w:val="20"/>
              </w:rPr>
            </w:pPr>
            <w:r w:rsidRPr="00BC120C">
              <w:rPr>
                <w:b/>
                <w:bCs/>
                <w:color w:val="00A984"/>
                <w:sz w:val="20"/>
                <w:szCs w:val="20"/>
              </w:rPr>
              <w:t>Art. 30 (1)(b)(i)</w:t>
            </w:r>
          </w:p>
          <w:p w14:paraId="4A6787E2" w14:textId="77777777" w:rsidR="00D36720" w:rsidRPr="00875452" w:rsidRDefault="00D36720" w:rsidP="000E7C4C">
            <w:pPr>
              <w:rPr>
                <w:b/>
                <w:bCs/>
                <w:color w:val="00A984"/>
                <w:sz w:val="20"/>
                <w:szCs w:val="20"/>
                <w:highlight w:val="magenta"/>
              </w:rPr>
            </w:pPr>
          </w:p>
        </w:tc>
        <w:tc>
          <w:tcPr>
            <w:tcW w:w="2242" w:type="dxa"/>
          </w:tcPr>
          <w:p w14:paraId="00D4D8D3" w14:textId="77777777" w:rsidR="00D36720" w:rsidRPr="0053622B" w:rsidRDefault="00D36720" w:rsidP="000E7C4C">
            <w:pPr>
              <w:rPr>
                <w:sz w:val="20"/>
                <w:szCs w:val="20"/>
              </w:rPr>
            </w:pPr>
            <w:r w:rsidRPr="0053622B">
              <w:rPr>
                <w:sz w:val="20"/>
                <w:szCs w:val="20"/>
              </w:rPr>
              <w:t>Informationen zu den zulässigen Erlösen</w:t>
            </w:r>
          </w:p>
        </w:tc>
        <w:tc>
          <w:tcPr>
            <w:tcW w:w="4394" w:type="dxa"/>
          </w:tcPr>
          <w:p w14:paraId="008EC377" w14:textId="7BFC7152" w:rsidR="00D36720" w:rsidRPr="005C4F32" w:rsidRDefault="00D36720" w:rsidP="000E7C4C">
            <w:pPr>
              <w:rPr>
                <w:sz w:val="20"/>
                <w:szCs w:val="20"/>
              </w:rPr>
            </w:pPr>
            <w:r w:rsidRPr="13649CF3">
              <w:rPr>
                <w:sz w:val="20"/>
                <w:szCs w:val="20"/>
              </w:rPr>
              <w:t xml:space="preserve">Die zulässigen Erlöse </w:t>
            </w:r>
            <w:r w:rsidR="00637128" w:rsidRPr="13649CF3">
              <w:rPr>
                <w:sz w:val="20"/>
                <w:szCs w:val="20"/>
              </w:rPr>
              <w:t xml:space="preserve">von GRTgaz Deutschland </w:t>
            </w:r>
            <w:r w:rsidRPr="13649CF3">
              <w:rPr>
                <w:sz w:val="20"/>
                <w:szCs w:val="20"/>
              </w:rPr>
              <w:t xml:space="preserve">für </w:t>
            </w:r>
            <w:r w:rsidR="00125AC8" w:rsidRPr="13649CF3">
              <w:rPr>
                <w:sz w:val="20"/>
                <w:szCs w:val="20"/>
              </w:rPr>
              <w:t xml:space="preserve">2024 </w:t>
            </w:r>
            <w:r w:rsidRPr="13649CF3">
              <w:rPr>
                <w:sz w:val="20"/>
                <w:szCs w:val="20"/>
              </w:rPr>
              <w:t xml:space="preserve">betragen: </w:t>
            </w:r>
            <w:r w:rsidR="00125AC8" w:rsidRPr="13649CF3">
              <w:rPr>
                <w:sz w:val="20"/>
                <w:szCs w:val="20"/>
              </w:rPr>
              <w:t>113.266.279</w:t>
            </w:r>
            <w:r w:rsidRPr="13649CF3">
              <w:rPr>
                <w:sz w:val="20"/>
                <w:szCs w:val="20"/>
              </w:rPr>
              <w:t xml:space="preserve"> </w:t>
            </w:r>
            <w:r w:rsidR="00F11DFC" w:rsidRPr="13649CF3">
              <w:rPr>
                <w:sz w:val="20"/>
                <w:szCs w:val="20"/>
              </w:rPr>
              <w:t>EUR</w:t>
            </w:r>
          </w:p>
        </w:tc>
        <w:tc>
          <w:tcPr>
            <w:tcW w:w="1984" w:type="dxa"/>
          </w:tcPr>
          <w:p w14:paraId="7FED512B" w14:textId="77777777" w:rsidR="00D36720" w:rsidRPr="00B54B24" w:rsidRDefault="00D36720" w:rsidP="000E7C4C">
            <w:pPr>
              <w:rPr>
                <w:sz w:val="20"/>
                <w:szCs w:val="20"/>
                <w:lang w:val="en-GB"/>
              </w:rPr>
            </w:pPr>
            <w:r w:rsidRPr="00B54B24">
              <w:rPr>
                <w:sz w:val="20"/>
                <w:szCs w:val="20"/>
                <w:lang w:val="en-GB"/>
              </w:rPr>
              <w:t>Information on the allowed and/or target revenue</w:t>
            </w:r>
          </w:p>
        </w:tc>
        <w:tc>
          <w:tcPr>
            <w:tcW w:w="5103" w:type="dxa"/>
          </w:tcPr>
          <w:p w14:paraId="4E4FD903" w14:textId="351E1E4F" w:rsidR="00D36720" w:rsidRPr="00B54B24" w:rsidRDefault="00D36720" w:rsidP="000E7C4C">
            <w:pPr>
              <w:rPr>
                <w:sz w:val="20"/>
                <w:szCs w:val="20"/>
                <w:lang w:val="en-GB"/>
              </w:rPr>
            </w:pPr>
            <w:r w:rsidRPr="13649CF3">
              <w:rPr>
                <w:sz w:val="20"/>
                <w:szCs w:val="20"/>
                <w:lang w:val="en-GB"/>
              </w:rPr>
              <w:t>The allowed revenues of GRTgaz Deutschland for the year 202</w:t>
            </w:r>
            <w:r w:rsidR="00BC120C">
              <w:rPr>
                <w:sz w:val="20"/>
                <w:szCs w:val="20"/>
                <w:lang w:val="en-GB"/>
              </w:rPr>
              <w:t>4</w:t>
            </w:r>
            <w:r w:rsidRPr="13649CF3">
              <w:rPr>
                <w:sz w:val="20"/>
                <w:szCs w:val="20"/>
                <w:lang w:val="en-GB"/>
              </w:rPr>
              <w:t xml:space="preserve"> are: </w:t>
            </w:r>
            <w:r w:rsidR="00125AC8" w:rsidRPr="13649CF3">
              <w:rPr>
                <w:sz w:val="20"/>
                <w:szCs w:val="20"/>
                <w:lang w:val="en-GB"/>
              </w:rPr>
              <w:t>113</w:t>
            </w:r>
            <w:r w:rsidR="00637128" w:rsidRPr="13649CF3">
              <w:rPr>
                <w:sz w:val="20"/>
                <w:szCs w:val="20"/>
                <w:lang w:val="en-GB"/>
              </w:rPr>
              <w:t>,</w:t>
            </w:r>
            <w:r w:rsidR="00125AC8" w:rsidRPr="13649CF3">
              <w:rPr>
                <w:sz w:val="20"/>
                <w:szCs w:val="20"/>
                <w:lang w:val="en-GB"/>
              </w:rPr>
              <w:t>266</w:t>
            </w:r>
            <w:r w:rsidR="00637128" w:rsidRPr="13649CF3">
              <w:rPr>
                <w:sz w:val="20"/>
                <w:szCs w:val="20"/>
                <w:lang w:val="en-GB"/>
              </w:rPr>
              <w:t>,</w:t>
            </w:r>
            <w:r w:rsidR="00125AC8" w:rsidRPr="13649CF3">
              <w:rPr>
                <w:sz w:val="20"/>
                <w:szCs w:val="20"/>
                <w:lang w:val="en-GB"/>
              </w:rPr>
              <w:t>279</w:t>
            </w:r>
            <w:r w:rsidR="00F11DFC" w:rsidRPr="13649CF3">
              <w:rPr>
                <w:sz w:val="20"/>
                <w:szCs w:val="20"/>
                <w:lang w:val="en-GB"/>
              </w:rPr>
              <w:t xml:space="preserve"> EUR</w:t>
            </w:r>
          </w:p>
        </w:tc>
      </w:tr>
      <w:tr w:rsidR="00D36720" w:rsidRPr="000F6EE8" w14:paraId="69E72243" w14:textId="77777777" w:rsidTr="00387056">
        <w:tblPrEx>
          <w:tblCellMar>
            <w:left w:w="70" w:type="dxa"/>
            <w:right w:w="70" w:type="dxa"/>
          </w:tblCellMar>
        </w:tblPrEx>
        <w:tc>
          <w:tcPr>
            <w:tcW w:w="1161" w:type="dxa"/>
          </w:tcPr>
          <w:p w14:paraId="42BA1086" w14:textId="77777777" w:rsidR="00D36720" w:rsidRPr="00BC120C" w:rsidRDefault="00D36720" w:rsidP="000E7C4C">
            <w:pPr>
              <w:rPr>
                <w:b/>
                <w:bCs/>
                <w:color w:val="00A984"/>
                <w:sz w:val="20"/>
                <w:szCs w:val="20"/>
              </w:rPr>
            </w:pPr>
            <w:r w:rsidRPr="00BC120C">
              <w:rPr>
                <w:b/>
                <w:bCs/>
                <w:color w:val="00A984"/>
                <w:sz w:val="20"/>
                <w:szCs w:val="20"/>
              </w:rPr>
              <w:t>Art. 30 (1)(b)(ii)</w:t>
            </w:r>
          </w:p>
          <w:p w14:paraId="7718C868" w14:textId="77777777" w:rsidR="00D36720" w:rsidRPr="00875452" w:rsidRDefault="00D36720" w:rsidP="000E7C4C">
            <w:pPr>
              <w:rPr>
                <w:b/>
                <w:bCs/>
                <w:color w:val="00A984"/>
                <w:sz w:val="20"/>
                <w:szCs w:val="20"/>
                <w:highlight w:val="magenta"/>
              </w:rPr>
            </w:pPr>
          </w:p>
        </w:tc>
        <w:tc>
          <w:tcPr>
            <w:tcW w:w="2242" w:type="dxa"/>
          </w:tcPr>
          <w:p w14:paraId="0CCD34EC" w14:textId="77777777" w:rsidR="00D36720" w:rsidRPr="0053622B" w:rsidRDefault="00D36720" w:rsidP="000E7C4C">
            <w:pPr>
              <w:rPr>
                <w:sz w:val="20"/>
                <w:szCs w:val="20"/>
              </w:rPr>
            </w:pPr>
            <w:r w:rsidRPr="0053622B">
              <w:rPr>
                <w:sz w:val="20"/>
                <w:szCs w:val="20"/>
              </w:rPr>
              <w:t>Informationen zu den Änderungen der zulässigen Erlöse</w:t>
            </w:r>
          </w:p>
        </w:tc>
        <w:tc>
          <w:tcPr>
            <w:tcW w:w="4394" w:type="dxa"/>
          </w:tcPr>
          <w:p w14:paraId="4DBA0E2B" w14:textId="6FF38837" w:rsidR="00637128" w:rsidRPr="001C57AF" w:rsidRDefault="001C57AF" w:rsidP="13649CF3">
            <w:pPr>
              <w:rPr>
                <w:sz w:val="20"/>
                <w:szCs w:val="20"/>
              </w:rPr>
            </w:pPr>
            <w:r w:rsidRPr="13649CF3">
              <w:rPr>
                <w:sz w:val="20"/>
                <w:szCs w:val="20"/>
              </w:rPr>
              <w:t xml:space="preserve">Die für den Tarif 2023 berücksichtigen prognostizierten zulässigen Erlöse </w:t>
            </w:r>
            <w:r w:rsidR="00637128" w:rsidRPr="13649CF3">
              <w:rPr>
                <w:sz w:val="20"/>
                <w:szCs w:val="20"/>
              </w:rPr>
              <w:t>(25.11.2022):</w:t>
            </w:r>
          </w:p>
          <w:p w14:paraId="150D32B0" w14:textId="77777777" w:rsidR="00D36720" w:rsidRDefault="00637128" w:rsidP="00637128">
            <w:pPr>
              <w:rPr>
                <w:sz w:val="20"/>
                <w:szCs w:val="20"/>
              </w:rPr>
            </w:pPr>
            <w:r w:rsidRPr="13649CF3">
              <w:rPr>
                <w:sz w:val="20"/>
                <w:szCs w:val="20"/>
              </w:rPr>
              <w:t>195.365.864 EUR</w:t>
            </w:r>
          </w:p>
          <w:p w14:paraId="5A8B3C6C" w14:textId="43CEDB49" w:rsidR="00125AC8" w:rsidRPr="001C57AF" w:rsidRDefault="00125AC8" w:rsidP="00125AC8">
            <w:pPr>
              <w:rPr>
                <w:sz w:val="20"/>
                <w:szCs w:val="20"/>
              </w:rPr>
            </w:pPr>
            <w:r w:rsidRPr="13649CF3">
              <w:rPr>
                <w:sz w:val="20"/>
                <w:szCs w:val="20"/>
              </w:rPr>
              <w:t>Die für den Tarif 2024 berücksichtigen prognostizierten zulässigen Erlöse (25.05.2023):</w:t>
            </w:r>
          </w:p>
          <w:p w14:paraId="2A99F42C" w14:textId="43092685" w:rsidR="00125AC8" w:rsidRDefault="00125AC8" w:rsidP="00125AC8">
            <w:pPr>
              <w:rPr>
                <w:sz w:val="20"/>
                <w:szCs w:val="20"/>
              </w:rPr>
            </w:pPr>
            <w:r w:rsidRPr="13649CF3">
              <w:rPr>
                <w:sz w:val="20"/>
                <w:szCs w:val="20"/>
              </w:rPr>
              <w:t>113.266.279 EUR</w:t>
            </w:r>
          </w:p>
          <w:p w14:paraId="7BA7416E" w14:textId="0C9C2DEB" w:rsidR="00240929" w:rsidRPr="00240929" w:rsidRDefault="00240929" w:rsidP="00240929">
            <w:pPr>
              <w:rPr>
                <w:sz w:val="20"/>
                <w:szCs w:val="20"/>
              </w:rPr>
            </w:pPr>
            <w:r w:rsidRPr="00240929">
              <w:rPr>
                <w:sz w:val="20"/>
                <w:szCs w:val="20"/>
              </w:rPr>
              <w:t>Veränderung:</w:t>
            </w:r>
          </w:p>
          <w:p w14:paraId="3773EE05" w14:textId="1F9D3FB6" w:rsidR="00240929" w:rsidRPr="00240929" w:rsidRDefault="00125AC8" w:rsidP="00240929">
            <w:pPr>
              <w:rPr>
                <w:sz w:val="20"/>
                <w:szCs w:val="20"/>
              </w:rPr>
            </w:pPr>
            <w:r w:rsidRPr="13649CF3">
              <w:rPr>
                <w:sz w:val="20"/>
                <w:szCs w:val="20"/>
              </w:rPr>
              <w:t>-82.099.585</w:t>
            </w:r>
            <w:r w:rsidR="00240929" w:rsidRPr="13649CF3">
              <w:rPr>
                <w:sz w:val="20"/>
                <w:szCs w:val="20"/>
              </w:rPr>
              <w:t xml:space="preserve"> EUR im Trading Hub Europe Marktgebiet. Die </w:t>
            </w:r>
            <w:r w:rsidR="008C1063" w:rsidRPr="13649CF3">
              <w:rPr>
                <w:sz w:val="20"/>
                <w:szCs w:val="20"/>
              </w:rPr>
              <w:t xml:space="preserve">Senkung </w:t>
            </w:r>
            <w:r w:rsidR="00240929" w:rsidRPr="13649CF3">
              <w:rPr>
                <w:sz w:val="20"/>
                <w:szCs w:val="20"/>
              </w:rPr>
              <w:t xml:space="preserve">resultiert </w:t>
            </w:r>
            <w:r w:rsidR="008C1063" w:rsidRPr="13649CF3">
              <w:rPr>
                <w:sz w:val="20"/>
                <w:szCs w:val="20"/>
              </w:rPr>
              <w:t>hauptsächlich aus gesunkenen</w:t>
            </w:r>
            <w:r w:rsidR="00240929" w:rsidRPr="13649CF3">
              <w:rPr>
                <w:sz w:val="20"/>
                <w:szCs w:val="20"/>
              </w:rPr>
              <w:t xml:space="preserve"> Energiekosten.</w:t>
            </w:r>
          </w:p>
        </w:tc>
        <w:tc>
          <w:tcPr>
            <w:tcW w:w="1984" w:type="dxa"/>
          </w:tcPr>
          <w:p w14:paraId="757EF6B4" w14:textId="77777777" w:rsidR="00D36720" w:rsidRPr="00B54B24" w:rsidRDefault="00D36720" w:rsidP="000E7C4C">
            <w:pPr>
              <w:rPr>
                <w:sz w:val="20"/>
                <w:szCs w:val="20"/>
                <w:lang w:val="en-GB"/>
              </w:rPr>
            </w:pPr>
            <w:r w:rsidRPr="00B54B24">
              <w:rPr>
                <w:sz w:val="20"/>
                <w:szCs w:val="20"/>
                <w:lang w:val="en-GB"/>
              </w:rPr>
              <w:t>Information related to changes in the revenue</w:t>
            </w:r>
          </w:p>
        </w:tc>
        <w:tc>
          <w:tcPr>
            <w:tcW w:w="5103" w:type="dxa"/>
          </w:tcPr>
          <w:p w14:paraId="14EE359A" w14:textId="690DCCC0" w:rsidR="00637128" w:rsidRPr="00637128" w:rsidRDefault="00637128" w:rsidP="13649CF3">
            <w:pPr>
              <w:rPr>
                <w:sz w:val="20"/>
                <w:szCs w:val="20"/>
                <w:lang w:val="en-GB"/>
              </w:rPr>
            </w:pPr>
            <w:r w:rsidRPr="13649CF3">
              <w:rPr>
                <w:sz w:val="20"/>
                <w:szCs w:val="20"/>
                <w:lang w:val="en-GB"/>
              </w:rPr>
              <w:t>Revenue cap forecast 2022 as included in tariffs (25.11.2022):</w:t>
            </w:r>
          </w:p>
          <w:p w14:paraId="427AFC8B" w14:textId="47E13915" w:rsidR="00D36720" w:rsidRDefault="00637128" w:rsidP="00637128">
            <w:pPr>
              <w:rPr>
                <w:sz w:val="20"/>
                <w:szCs w:val="20"/>
                <w:lang w:val="en-GB"/>
              </w:rPr>
            </w:pPr>
            <w:r w:rsidRPr="00637128">
              <w:rPr>
                <w:sz w:val="20"/>
                <w:szCs w:val="20"/>
                <w:lang w:val="en-GB"/>
              </w:rPr>
              <w:t>195</w:t>
            </w:r>
            <w:r w:rsidR="00844C6C">
              <w:rPr>
                <w:sz w:val="20"/>
                <w:szCs w:val="20"/>
                <w:lang w:val="en-GB"/>
              </w:rPr>
              <w:t>,</w:t>
            </w:r>
            <w:r w:rsidRPr="00637128">
              <w:rPr>
                <w:sz w:val="20"/>
                <w:szCs w:val="20"/>
                <w:lang w:val="en-GB"/>
              </w:rPr>
              <w:t>365</w:t>
            </w:r>
            <w:r w:rsidR="00844C6C">
              <w:rPr>
                <w:sz w:val="20"/>
                <w:szCs w:val="20"/>
                <w:lang w:val="en-GB"/>
              </w:rPr>
              <w:t>,</w:t>
            </w:r>
            <w:r w:rsidRPr="00637128">
              <w:rPr>
                <w:sz w:val="20"/>
                <w:szCs w:val="20"/>
                <w:lang w:val="en-GB"/>
              </w:rPr>
              <w:t xml:space="preserve">864 </w:t>
            </w:r>
            <w:r>
              <w:rPr>
                <w:sz w:val="20"/>
                <w:szCs w:val="20"/>
                <w:lang w:val="en-GB"/>
              </w:rPr>
              <w:t>EUR</w:t>
            </w:r>
            <w:r w:rsidRPr="00637128">
              <w:rPr>
                <w:sz w:val="20"/>
                <w:szCs w:val="20"/>
                <w:lang w:val="en-GB"/>
              </w:rPr>
              <w:t xml:space="preserve"> </w:t>
            </w:r>
          </w:p>
          <w:p w14:paraId="49E9DB60" w14:textId="28D634A5" w:rsidR="00125AC8" w:rsidRPr="00637128" w:rsidRDefault="00125AC8" w:rsidP="00125AC8">
            <w:pPr>
              <w:rPr>
                <w:sz w:val="20"/>
                <w:szCs w:val="20"/>
                <w:lang w:val="en-GB"/>
              </w:rPr>
            </w:pPr>
            <w:r w:rsidRPr="13649CF3">
              <w:rPr>
                <w:sz w:val="20"/>
                <w:szCs w:val="20"/>
                <w:lang w:val="en-GB"/>
              </w:rPr>
              <w:t>Revenue cap forecast 2024 as included in tariffs (25.05.2023):</w:t>
            </w:r>
          </w:p>
          <w:p w14:paraId="2B91BF6D" w14:textId="4A208D26" w:rsidR="00125AC8" w:rsidRDefault="00125AC8" w:rsidP="00125AC8">
            <w:pPr>
              <w:rPr>
                <w:sz w:val="20"/>
                <w:szCs w:val="20"/>
                <w:lang w:val="en-GB"/>
              </w:rPr>
            </w:pPr>
            <w:r w:rsidRPr="13649CF3">
              <w:rPr>
                <w:sz w:val="20"/>
                <w:szCs w:val="20"/>
                <w:lang w:val="en-GB"/>
              </w:rPr>
              <w:t xml:space="preserve">113,266,279 EUR </w:t>
            </w:r>
          </w:p>
          <w:p w14:paraId="423E08E7" w14:textId="77777777" w:rsidR="00240929" w:rsidRPr="00240929" w:rsidRDefault="00240929" w:rsidP="00240929">
            <w:pPr>
              <w:rPr>
                <w:sz w:val="20"/>
                <w:szCs w:val="20"/>
                <w:lang w:val="en-GB"/>
              </w:rPr>
            </w:pPr>
            <w:r w:rsidRPr="00240929">
              <w:rPr>
                <w:sz w:val="20"/>
                <w:szCs w:val="20"/>
                <w:lang w:val="en-GB"/>
              </w:rPr>
              <w:t>Change:</w:t>
            </w:r>
          </w:p>
          <w:p w14:paraId="22CB3CC5" w14:textId="0B49C2A1" w:rsidR="00240929" w:rsidRPr="00867109" w:rsidRDefault="00125AC8" w:rsidP="00240929">
            <w:pPr>
              <w:rPr>
                <w:sz w:val="20"/>
                <w:szCs w:val="20"/>
                <w:lang w:val="en-GB"/>
              </w:rPr>
            </w:pPr>
            <w:r w:rsidRPr="13649CF3">
              <w:rPr>
                <w:sz w:val="20"/>
                <w:szCs w:val="20"/>
                <w:lang w:val="en-GB"/>
              </w:rPr>
              <w:t>-82,099,585</w:t>
            </w:r>
            <w:r w:rsidR="00240929" w:rsidRPr="13649CF3">
              <w:rPr>
                <w:sz w:val="20"/>
                <w:szCs w:val="20"/>
                <w:lang w:val="en-GB"/>
              </w:rPr>
              <w:t xml:space="preserve"> EUR in Trading Hub Europe market area. This </w:t>
            </w:r>
            <w:r w:rsidR="008C1063" w:rsidRPr="13649CF3">
              <w:rPr>
                <w:sz w:val="20"/>
                <w:szCs w:val="20"/>
                <w:lang w:val="en-GB"/>
              </w:rPr>
              <w:t>de</w:t>
            </w:r>
            <w:r w:rsidR="00240929" w:rsidRPr="13649CF3">
              <w:rPr>
                <w:sz w:val="20"/>
                <w:szCs w:val="20"/>
                <w:lang w:val="en-GB"/>
              </w:rPr>
              <w:t xml:space="preserve">crease is mainly due to </w:t>
            </w:r>
            <w:r w:rsidR="008C1063" w:rsidRPr="13649CF3">
              <w:rPr>
                <w:sz w:val="20"/>
                <w:szCs w:val="20"/>
                <w:lang w:val="en-GB"/>
              </w:rPr>
              <w:t xml:space="preserve">lower </w:t>
            </w:r>
            <w:r w:rsidR="00240929" w:rsidRPr="13649CF3">
              <w:rPr>
                <w:sz w:val="20"/>
                <w:szCs w:val="20"/>
                <w:lang w:val="en-GB"/>
              </w:rPr>
              <w:t>energy costs</w:t>
            </w:r>
          </w:p>
        </w:tc>
      </w:tr>
      <w:tr w:rsidR="00D36720" w:rsidRPr="000F6EE8" w14:paraId="353B16C1" w14:textId="77777777" w:rsidTr="00387056">
        <w:tblPrEx>
          <w:tblCellMar>
            <w:left w:w="70" w:type="dxa"/>
            <w:right w:w="70" w:type="dxa"/>
          </w:tblCellMar>
        </w:tblPrEx>
        <w:tc>
          <w:tcPr>
            <w:tcW w:w="1161" w:type="dxa"/>
          </w:tcPr>
          <w:p w14:paraId="631A563B" w14:textId="77777777" w:rsidR="00D36720" w:rsidRPr="003F0E2F" w:rsidRDefault="00D36720" w:rsidP="000E7C4C">
            <w:pPr>
              <w:rPr>
                <w:b/>
                <w:bCs/>
                <w:color w:val="00A984"/>
                <w:sz w:val="20"/>
                <w:szCs w:val="20"/>
              </w:rPr>
            </w:pPr>
            <w:bookmarkStart w:id="1" w:name="_Hlk151034745"/>
            <w:r w:rsidRPr="00B02C1E">
              <w:rPr>
                <w:b/>
                <w:bCs/>
                <w:color w:val="00A984"/>
                <w:sz w:val="20"/>
                <w:szCs w:val="20"/>
              </w:rPr>
              <w:t>Art. 30 (1)(b)(iii)</w:t>
            </w:r>
          </w:p>
          <w:bookmarkEnd w:id="1"/>
          <w:p w14:paraId="046AF2E0" w14:textId="77777777" w:rsidR="00D36720" w:rsidRPr="00586D24" w:rsidRDefault="00D36720" w:rsidP="000E7C4C">
            <w:pPr>
              <w:rPr>
                <w:b/>
                <w:bCs/>
                <w:color w:val="00A984"/>
                <w:sz w:val="20"/>
                <w:szCs w:val="20"/>
              </w:rPr>
            </w:pPr>
          </w:p>
        </w:tc>
        <w:tc>
          <w:tcPr>
            <w:tcW w:w="2242" w:type="dxa"/>
          </w:tcPr>
          <w:p w14:paraId="15F41BE6" w14:textId="245FBD04" w:rsidR="00D36720" w:rsidRPr="0053622B" w:rsidRDefault="00D36720" w:rsidP="000E7C4C">
            <w:pPr>
              <w:rPr>
                <w:sz w:val="20"/>
                <w:szCs w:val="20"/>
              </w:rPr>
            </w:pPr>
            <w:r w:rsidRPr="0053622B">
              <w:rPr>
                <w:sz w:val="20"/>
                <w:szCs w:val="20"/>
              </w:rPr>
              <w:t xml:space="preserve">Informationen zu den folgenden Parametern: Typen des reguliertem Anlagevermögen und ihr Gesamtwert, Kapitalkosten, Investitionsausgaben, operative Ausgaben, </w:t>
            </w:r>
            <w:r w:rsidRPr="0053622B">
              <w:rPr>
                <w:sz w:val="20"/>
                <w:szCs w:val="20"/>
              </w:rPr>
              <w:lastRenderedPageBreak/>
              <w:t>Anreizmechanismen und Effizienzziele, Inflationsindizes</w:t>
            </w:r>
          </w:p>
        </w:tc>
        <w:tc>
          <w:tcPr>
            <w:tcW w:w="4394" w:type="dxa"/>
          </w:tcPr>
          <w:p w14:paraId="50DEF396" w14:textId="049C21CC" w:rsidR="00D36720" w:rsidRPr="005C4F32" w:rsidRDefault="00D36720" w:rsidP="000E7C4C">
            <w:pPr>
              <w:rPr>
                <w:sz w:val="20"/>
                <w:szCs w:val="20"/>
              </w:rPr>
            </w:pPr>
            <w:r w:rsidRPr="007339E4">
              <w:rPr>
                <w:sz w:val="20"/>
                <w:szCs w:val="20"/>
              </w:rPr>
              <w:lastRenderedPageBreak/>
              <w:t xml:space="preserve">Gesamtwert des regulierten Anlagevermögens im </w:t>
            </w:r>
            <w:r w:rsidRPr="005C4F32">
              <w:rPr>
                <w:sz w:val="20"/>
                <w:szCs w:val="20"/>
              </w:rPr>
              <w:t>Kostenbasisjahr 20</w:t>
            </w:r>
            <w:r w:rsidR="00240929">
              <w:rPr>
                <w:sz w:val="20"/>
                <w:szCs w:val="20"/>
              </w:rPr>
              <w:t>20</w:t>
            </w:r>
          </w:p>
          <w:p w14:paraId="1433A1B4" w14:textId="72C5A726" w:rsidR="00D36720" w:rsidRPr="005C4F32" w:rsidRDefault="00D36720" w:rsidP="000E7C4C">
            <w:pPr>
              <w:rPr>
                <w:sz w:val="20"/>
                <w:szCs w:val="20"/>
              </w:rPr>
            </w:pPr>
            <w:r w:rsidRPr="005C4F32">
              <w:rPr>
                <w:sz w:val="20"/>
                <w:szCs w:val="20"/>
              </w:rPr>
              <w:t>34</w:t>
            </w:r>
            <w:r w:rsidR="00240929">
              <w:rPr>
                <w:sz w:val="20"/>
                <w:szCs w:val="20"/>
              </w:rPr>
              <w:t>9</w:t>
            </w:r>
            <w:r w:rsidRPr="005C4F32">
              <w:rPr>
                <w:sz w:val="20"/>
                <w:szCs w:val="20"/>
              </w:rPr>
              <w:t>.</w:t>
            </w:r>
            <w:r w:rsidR="00240929">
              <w:rPr>
                <w:sz w:val="20"/>
                <w:szCs w:val="20"/>
              </w:rPr>
              <w:t>999</w:t>
            </w:r>
            <w:r w:rsidRPr="005C4F32">
              <w:rPr>
                <w:sz w:val="20"/>
                <w:szCs w:val="20"/>
              </w:rPr>
              <w:t>.</w:t>
            </w:r>
            <w:r w:rsidR="00240929">
              <w:rPr>
                <w:sz w:val="20"/>
                <w:szCs w:val="20"/>
              </w:rPr>
              <w:t>999</w:t>
            </w:r>
            <w:r w:rsidRPr="005C4F32">
              <w:rPr>
                <w:sz w:val="20"/>
                <w:szCs w:val="20"/>
              </w:rPr>
              <w:t xml:space="preserve"> €</w:t>
            </w:r>
          </w:p>
          <w:p w14:paraId="1BCF3290" w14:textId="77777777" w:rsidR="00D36720" w:rsidRPr="005C4F32" w:rsidRDefault="00D36720" w:rsidP="000E7C4C">
            <w:pPr>
              <w:rPr>
                <w:sz w:val="20"/>
                <w:szCs w:val="20"/>
              </w:rPr>
            </w:pPr>
          </w:p>
          <w:p w14:paraId="76D36C51" w14:textId="77777777" w:rsidR="00D36720" w:rsidRPr="005C4F32" w:rsidRDefault="00D36720" w:rsidP="000E7C4C">
            <w:pPr>
              <w:rPr>
                <w:sz w:val="20"/>
                <w:szCs w:val="20"/>
              </w:rPr>
            </w:pPr>
            <w:r w:rsidRPr="005C4F32">
              <w:rPr>
                <w:sz w:val="20"/>
                <w:szCs w:val="20"/>
              </w:rPr>
              <w:t>I.     Allgemeine Anlagen</w:t>
            </w:r>
          </w:p>
          <w:p w14:paraId="27EF4D7F" w14:textId="15868518" w:rsidR="00D36720" w:rsidRPr="005C4F32" w:rsidRDefault="00D36720" w:rsidP="000E7C4C">
            <w:pPr>
              <w:rPr>
                <w:sz w:val="20"/>
                <w:szCs w:val="20"/>
              </w:rPr>
            </w:pPr>
            <w:r w:rsidRPr="005C4F32">
              <w:rPr>
                <w:sz w:val="20"/>
                <w:szCs w:val="20"/>
              </w:rPr>
              <w:t>Kostenbasisjahr 20</w:t>
            </w:r>
            <w:r w:rsidR="00240929">
              <w:rPr>
                <w:sz w:val="20"/>
                <w:szCs w:val="20"/>
              </w:rPr>
              <w:t>20</w:t>
            </w:r>
            <w:r w:rsidRPr="005C4F32">
              <w:rPr>
                <w:sz w:val="20"/>
                <w:szCs w:val="20"/>
              </w:rPr>
              <w:t>: 30.302.912 €</w:t>
            </w:r>
          </w:p>
          <w:p w14:paraId="227CD489" w14:textId="77777777" w:rsidR="00D36720" w:rsidRPr="005C4F32" w:rsidRDefault="00D36720" w:rsidP="000E7C4C">
            <w:pPr>
              <w:rPr>
                <w:sz w:val="20"/>
                <w:szCs w:val="20"/>
              </w:rPr>
            </w:pPr>
            <w:r w:rsidRPr="005C4F32">
              <w:rPr>
                <w:sz w:val="20"/>
                <w:szCs w:val="20"/>
              </w:rPr>
              <w:t>II.   Gasbehälter</w:t>
            </w:r>
          </w:p>
          <w:p w14:paraId="29F2459E" w14:textId="3A70C509" w:rsidR="00D36720" w:rsidRPr="005C4F32" w:rsidRDefault="00D36720" w:rsidP="000E7C4C">
            <w:pPr>
              <w:rPr>
                <w:sz w:val="20"/>
                <w:szCs w:val="20"/>
              </w:rPr>
            </w:pPr>
            <w:r w:rsidRPr="005C4F32">
              <w:rPr>
                <w:sz w:val="20"/>
                <w:szCs w:val="20"/>
              </w:rPr>
              <w:t>Kostenbasisjahr 20</w:t>
            </w:r>
            <w:r w:rsidR="00240929">
              <w:rPr>
                <w:sz w:val="20"/>
                <w:szCs w:val="20"/>
              </w:rPr>
              <w:t>20</w:t>
            </w:r>
            <w:r w:rsidRPr="005C4F32">
              <w:rPr>
                <w:sz w:val="20"/>
                <w:szCs w:val="20"/>
              </w:rPr>
              <w:t>: 0 €</w:t>
            </w:r>
          </w:p>
          <w:p w14:paraId="4E657A91" w14:textId="77777777" w:rsidR="00D36720" w:rsidRPr="005C4F32" w:rsidRDefault="00D36720" w:rsidP="000E7C4C">
            <w:pPr>
              <w:rPr>
                <w:sz w:val="20"/>
                <w:szCs w:val="20"/>
              </w:rPr>
            </w:pPr>
            <w:r w:rsidRPr="005C4F32">
              <w:rPr>
                <w:sz w:val="20"/>
                <w:szCs w:val="20"/>
              </w:rPr>
              <w:lastRenderedPageBreak/>
              <w:t>III.  Erdgasverdichteranlagen</w:t>
            </w:r>
          </w:p>
          <w:p w14:paraId="261BE10C" w14:textId="6E346E73" w:rsidR="00D36720" w:rsidRPr="005C4F32" w:rsidRDefault="00D36720" w:rsidP="000E7C4C">
            <w:pPr>
              <w:rPr>
                <w:sz w:val="20"/>
                <w:szCs w:val="20"/>
              </w:rPr>
            </w:pPr>
            <w:r w:rsidRPr="005C4F32">
              <w:rPr>
                <w:sz w:val="20"/>
                <w:szCs w:val="20"/>
              </w:rPr>
              <w:t>Kostenbasisjahr 20</w:t>
            </w:r>
            <w:r w:rsidR="00240929">
              <w:rPr>
                <w:sz w:val="20"/>
                <w:szCs w:val="20"/>
              </w:rPr>
              <w:t>20</w:t>
            </w:r>
            <w:r w:rsidRPr="005C4F32">
              <w:rPr>
                <w:sz w:val="20"/>
                <w:szCs w:val="20"/>
              </w:rPr>
              <w:t>: 85.583.818 €</w:t>
            </w:r>
          </w:p>
          <w:p w14:paraId="16955112" w14:textId="77777777" w:rsidR="00D36720" w:rsidRPr="005C4F32" w:rsidRDefault="00D36720" w:rsidP="000E7C4C">
            <w:pPr>
              <w:rPr>
                <w:sz w:val="20"/>
                <w:szCs w:val="20"/>
              </w:rPr>
            </w:pPr>
            <w:r w:rsidRPr="005C4F32">
              <w:rPr>
                <w:sz w:val="20"/>
                <w:szCs w:val="20"/>
              </w:rPr>
              <w:t>IV. Rohrleitungen/ Hausanschlussleitungen</w:t>
            </w:r>
          </w:p>
          <w:p w14:paraId="7953CC7E" w14:textId="50765661" w:rsidR="00D36720" w:rsidRPr="005C4F32" w:rsidRDefault="00D36720" w:rsidP="000E7C4C">
            <w:pPr>
              <w:rPr>
                <w:sz w:val="20"/>
                <w:szCs w:val="20"/>
              </w:rPr>
            </w:pPr>
            <w:r w:rsidRPr="005C4F32">
              <w:rPr>
                <w:sz w:val="20"/>
                <w:szCs w:val="20"/>
              </w:rPr>
              <w:t xml:space="preserve">Kostenbasisjahr </w:t>
            </w:r>
            <w:r w:rsidR="00240929" w:rsidRPr="005C4F32">
              <w:rPr>
                <w:sz w:val="20"/>
                <w:szCs w:val="20"/>
              </w:rPr>
              <w:t>20</w:t>
            </w:r>
            <w:r w:rsidR="00240929">
              <w:rPr>
                <w:sz w:val="20"/>
                <w:szCs w:val="20"/>
              </w:rPr>
              <w:t>20</w:t>
            </w:r>
            <w:r w:rsidRPr="005C4F32">
              <w:rPr>
                <w:sz w:val="20"/>
                <w:szCs w:val="20"/>
              </w:rPr>
              <w:t>: 220.159.360 €</w:t>
            </w:r>
          </w:p>
          <w:p w14:paraId="1ED8FD61" w14:textId="77777777" w:rsidR="00D36720" w:rsidRPr="005C4F32" w:rsidRDefault="00D36720" w:rsidP="000E7C4C">
            <w:pPr>
              <w:rPr>
                <w:sz w:val="20"/>
                <w:szCs w:val="20"/>
              </w:rPr>
            </w:pPr>
            <w:r w:rsidRPr="005C4F32">
              <w:rPr>
                <w:sz w:val="20"/>
                <w:szCs w:val="20"/>
              </w:rPr>
              <w:t>V.   Mess-, Regel- und Zähleranlagen</w:t>
            </w:r>
          </w:p>
          <w:p w14:paraId="057D329B" w14:textId="389813E3" w:rsidR="00D36720" w:rsidRPr="005C4F32" w:rsidRDefault="00D36720" w:rsidP="000E7C4C">
            <w:pPr>
              <w:rPr>
                <w:sz w:val="20"/>
                <w:szCs w:val="20"/>
              </w:rPr>
            </w:pPr>
            <w:r w:rsidRPr="005C4F32">
              <w:rPr>
                <w:sz w:val="20"/>
                <w:szCs w:val="20"/>
              </w:rPr>
              <w:t xml:space="preserve">Kostenbasisjahr </w:t>
            </w:r>
            <w:r w:rsidR="00240929" w:rsidRPr="005C4F32">
              <w:rPr>
                <w:sz w:val="20"/>
                <w:szCs w:val="20"/>
              </w:rPr>
              <w:t>20</w:t>
            </w:r>
            <w:r w:rsidR="00240929">
              <w:rPr>
                <w:sz w:val="20"/>
                <w:szCs w:val="20"/>
              </w:rPr>
              <w:t>20</w:t>
            </w:r>
            <w:r w:rsidRPr="005C4F32">
              <w:rPr>
                <w:sz w:val="20"/>
                <w:szCs w:val="20"/>
              </w:rPr>
              <w:t>: 8.953.820 €</w:t>
            </w:r>
          </w:p>
          <w:p w14:paraId="2F0B18E9" w14:textId="77777777" w:rsidR="00D36720" w:rsidRPr="005C4F32" w:rsidRDefault="00D36720" w:rsidP="000E7C4C">
            <w:pPr>
              <w:rPr>
                <w:sz w:val="20"/>
                <w:szCs w:val="20"/>
              </w:rPr>
            </w:pPr>
            <w:r w:rsidRPr="005C4F32">
              <w:rPr>
                <w:sz w:val="20"/>
                <w:szCs w:val="20"/>
              </w:rPr>
              <w:t>VI. Fernwirkanlagen</w:t>
            </w:r>
          </w:p>
          <w:p w14:paraId="57C769C0" w14:textId="521997AA" w:rsidR="00D36720" w:rsidRPr="005C4F32" w:rsidRDefault="00D36720" w:rsidP="000E7C4C">
            <w:pPr>
              <w:rPr>
                <w:sz w:val="20"/>
                <w:szCs w:val="20"/>
              </w:rPr>
            </w:pPr>
            <w:r w:rsidRPr="005C4F32">
              <w:rPr>
                <w:sz w:val="20"/>
                <w:szCs w:val="20"/>
              </w:rPr>
              <w:t xml:space="preserve">Kostenbasisjahr </w:t>
            </w:r>
            <w:r w:rsidR="00240929" w:rsidRPr="005C4F32">
              <w:rPr>
                <w:sz w:val="20"/>
                <w:szCs w:val="20"/>
              </w:rPr>
              <w:t>20</w:t>
            </w:r>
            <w:r w:rsidR="00240929">
              <w:rPr>
                <w:sz w:val="20"/>
                <w:szCs w:val="20"/>
              </w:rPr>
              <w:t>20</w:t>
            </w:r>
            <w:r w:rsidRPr="005C4F32">
              <w:rPr>
                <w:sz w:val="20"/>
                <w:szCs w:val="20"/>
              </w:rPr>
              <w:t>: 658.859 €</w:t>
            </w:r>
          </w:p>
          <w:p w14:paraId="1830D30E" w14:textId="77777777" w:rsidR="00D36720" w:rsidRPr="005C4F32" w:rsidRDefault="00D36720" w:rsidP="000E7C4C">
            <w:pPr>
              <w:rPr>
                <w:sz w:val="20"/>
                <w:szCs w:val="20"/>
              </w:rPr>
            </w:pPr>
          </w:p>
          <w:p w14:paraId="241D6D92" w14:textId="2B1FBED3" w:rsidR="00D36720" w:rsidRPr="005C4F32" w:rsidRDefault="00D36720" w:rsidP="000E7C4C">
            <w:pPr>
              <w:rPr>
                <w:sz w:val="20"/>
                <w:szCs w:val="20"/>
              </w:rPr>
            </w:pPr>
            <w:r w:rsidRPr="005C4F32">
              <w:rPr>
                <w:sz w:val="20"/>
                <w:szCs w:val="20"/>
              </w:rPr>
              <w:t xml:space="preserve">Kapitalkosten des Kostenbasisjahres </w:t>
            </w:r>
            <w:r w:rsidR="00240929" w:rsidRPr="005C4F32">
              <w:rPr>
                <w:sz w:val="20"/>
                <w:szCs w:val="20"/>
              </w:rPr>
              <w:t>20</w:t>
            </w:r>
            <w:r w:rsidR="00240929">
              <w:rPr>
                <w:sz w:val="20"/>
                <w:szCs w:val="20"/>
              </w:rPr>
              <w:t>20</w:t>
            </w:r>
            <w:r w:rsidRPr="005C4F32">
              <w:rPr>
                <w:sz w:val="20"/>
                <w:szCs w:val="20"/>
              </w:rPr>
              <w:t>:</w:t>
            </w:r>
          </w:p>
          <w:p w14:paraId="18013755" w14:textId="77777777" w:rsidR="00D36720" w:rsidRPr="005C4F32" w:rsidRDefault="00D36720" w:rsidP="000E7C4C">
            <w:pPr>
              <w:rPr>
                <w:sz w:val="20"/>
                <w:szCs w:val="20"/>
              </w:rPr>
            </w:pPr>
            <w:r w:rsidRPr="005C4F32">
              <w:rPr>
                <w:sz w:val="20"/>
                <w:szCs w:val="20"/>
              </w:rPr>
              <w:t>26.006.855 €</w:t>
            </w:r>
          </w:p>
          <w:p w14:paraId="01B481B0" w14:textId="77777777" w:rsidR="00D36720" w:rsidRPr="007339E4" w:rsidRDefault="00D36720" w:rsidP="000E7C4C">
            <w:pPr>
              <w:rPr>
                <w:sz w:val="20"/>
                <w:szCs w:val="20"/>
              </w:rPr>
            </w:pPr>
            <w:r w:rsidRPr="005C4F32">
              <w:rPr>
                <w:sz w:val="20"/>
                <w:szCs w:val="20"/>
              </w:rPr>
              <w:t>Die Methode zur Berechnung der Kapitalkosten ist in §§ 6-8 GasNEV festgelegt.</w:t>
            </w:r>
          </w:p>
          <w:p w14:paraId="04DFED32" w14:textId="77777777" w:rsidR="00D36720" w:rsidRPr="007339E4" w:rsidRDefault="00D36720" w:rsidP="000E7C4C">
            <w:pPr>
              <w:rPr>
                <w:sz w:val="20"/>
                <w:szCs w:val="20"/>
              </w:rPr>
            </w:pPr>
          </w:p>
          <w:p w14:paraId="1D9B49BF" w14:textId="77777777" w:rsidR="00D36720" w:rsidRDefault="00D36720" w:rsidP="000E7C4C">
            <w:pPr>
              <w:rPr>
                <w:sz w:val="20"/>
                <w:szCs w:val="20"/>
              </w:rPr>
            </w:pPr>
            <w:r w:rsidRPr="007339E4">
              <w:rPr>
                <w:sz w:val="20"/>
                <w:szCs w:val="20"/>
              </w:rPr>
              <w:t>Die Investitionsausgaben bestimmen sich nach den Anschaffungs- und Herstellungskosten des Anlagegutes. In der deutschen Anreizregulierung ist keine Neubewertung des Anlagegutes vorgesehen. Die Anlagegüter werden nach §6 (5) GasNEV linear abgeschrieben. Die Abschreibungsdauer ist in Anlage 1 GasNEV innerhalb einer Bandbreite vorgegeben. Die GRTgaz Deutschland nutzt grundsätzlich jeweils die unteren Werte dieser Bandbreite.</w:t>
            </w:r>
          </w:p>
          <w:p w14:paraId="6968DFCB" w14:textId="77777777" w:rsidR="00D36720" w:rsidRDefault="00D36720" w:rsidP="000E7C4C">
            <w:pPr>
              <w:rPr>
                <w:sz w:val="20"/>
                <w:szCs w:val="20"/>
              </w:rPr>
            </w:pPr>
          </w:p>
          <w:p w14:paraId="775E6145" w14:textId="77777777" w:rsidR="00D36720" w:rsidRPr="005C4F32" w:rsidRDefault="00D36720" w:rsidP="000E7C4C">
            <w:pPr>
              <w:rPr>
                <w:sz w:val="20"/>
                <w:szCs w:val="20"/>
              </w:rPr>
            </w:pPr>
            <w:r w:rsidRPr="005C4F32">
              <w:rPr>
                <w:sz w:val="20"/>
                <w:szCs w:val="20"/>
              </w:rPr>
              <w:t>Abschreibungszeiträume und –beträge für Anlagetypen:</w:t>
            </w:r>
          </w:p>
          <w:p w14:paraId="73CDD65C" w14:textId="5F40B8B9" w:rsidR="002B6D09" w:rsidRDefault="00D36720" w:rsidP="002B6D09">
            <w:pPr>
              <w:pStyle w:val="Listenabsatz"/>
              <w:numPr>
                <w:ilvl w:val="0"/>
                <w:numId w:val="2"/>
              </w:numPr>
              <w:ind w:left="363" w:hanging="287"/>
              <w:rPr>
                <w:sz w:val="20"/>
                <w:szCs w:val="20"/>
              </w:rPr>
            </w:pPr>
            <w:r w:rsidRPr="002B6D09">
              <w:rPr>
                <w:sz w:val="20"/>
                <w:szCs w:val="20"/>
              </w:rPr>
              <w:t>Allgemeine Anlagen</w:t>
            </w:r>
            <w:r w:rsidR="002B6D09" w:rsidRPr="002B6D09">
              <w:rPr>
                <w:sz w:val="20"/>
                <w:szCs w:val="20"/>
              </w:rPr>
              <w:t xml:space="preserve"> </w:t>
            </w:r>
            <w:r w:rsidRPr="002B6D09">
              <w:rPr>
                <w:sz w:val="20"/>
                <w:szCs w:val="20"/>
              </w:rPr>
              <w:t>3-70 Jahre (keine Abschreibung für Grundstücke)</w:t>
            </w:r>
            <w:r w:rsidR="002B6D09" w:rsidRPr="002B6D09">
              <w:rPr>
                <w:sz w:val="20"/>
                <w:szCs w:val="20"/>
              </w:rPr>
              <w:t xml:space="preserve"> </w:t>
            </w:r>
            <w:r w:rsidRPr="002B6D09">
              <w:rPr>
                <w:sz w:val="20"/>
                <w:szCs w:val="20"/>
              </w:rPr>
              <w:t xml:space="preserve">Betrag im Kostenbasisjahr </w:t>
            </w:r>
            <w:r w:rsidR="00240929" w:rsidRPr="002B6D09">
              <w:rPr>
                <w:sz w:val="20"/>
                <w:szCs w:val="20"/>
              </w:rPr>
              <w:t>2020</w:t>
            </w:r>
            <w:r w:rsidRPr="002B6D09">
              <w:rPr>
                <w:sz w:val="20"/>
                <w:szCs w:val="20"/>
              </w:rPr>
              <w:t xml:space="preserve">: </w:t>
            </w:r>
            <w:r w:rsidR="002B6D09" w:rsidRPr="002B6D09">
              <w:rPr>
                <w:sz w:val="20"/>
                <w:szCs w:val="20"/>
              </w:rPr>
              <w:t>2.065.675 €</w:t>
            </w:r>
          </w:p>
          <w:p w14:paraId="6A6EBED2" w14:textId="77777777" w:rsidR="002B6D09" w:rsidRDefault="00D36720" w:rsidP="002B6D09">
            <w:pPr>
              <w:pStyle w:val="Listenabsatz"/>
              <w:numPr>
                <w:ilvl w:val="0"/>
                <w:numId w:val="2"/>
              </w:numPr>
              <w:ind w:left="363" w:hanging="287"/>
              <w:rPr>
                <w:sz w:val="20"/>
                <w:szCs w:val="20"/>
              </w:rPr>
            </w:pPr>
            <w:r w:rsidRPr="002B6D09">
              <w:rPr>
                <w:sz w:val="20"/>
                <w:szCs w:val="20"/>
              </w:rPr>
              <w:t>Gasbehälter</w:t>
            </w:r>
            <w:r w:rsidR="002B6D09" w:rsidRPr="002B6D09">
              <w:rPr>
                <w:sz w:val="20"/>
                <w:szCs w:val="20"/>
              </w:rPr>
              <w:t xml:space="preserve"> </w:t>
            </w:r>
            <w:r w:rsidRPr="002B6D09">
              <w:rPr>
                <w:sz w:val="20"/>
                <w:szCs w:val="20"/>
              </w:rPr>
              <w:t>45-55 Jahre</w:t>
            </w:r>
            <w:r w:rsidR="002B6D09" w:rsidRPr="002B6D09">
              <w:rPr>
                <w:sz w:val="20"/>
                <w:szCs w:val="20"/>
              </w:rPr>
              <w:t xml:space="preserve"> </w:t>
            </w:r>
            <w:r w:rsidRPr="002B6D09">
              <w:rPr>
                <w:sz w:val="20"/>
                <w:szCs w:val="20"/>
              </w:rPr>
              <w:t xml:space="preserve">Kostenbasisjahr </w:t>
            </w:r>
            <w:r w:rsidR="00240929" w:rsidRPr="002B6D09">
              <w:rPr>
                <w:sz w:val="20"/>
                <w:szCs w:val="20"/>
              </w:rPr>
              <w:t>2020</w:t>
            </w:r>
            <w:r w:rsidRPr="002B6D09">
              <w:rPr>
                <w:sz w:val="20"/>
                <w:szCs w:val="20"/>
              </w:rPr>
              <w:t>: 0 €</w:t>
            </w:r>
          </w:p>
          <w:p w14:paraId="00C6FBBB" w14:textId="629B4DA7" w:rsidR="002B6D09" w:rsidRDefault="00D36720" w:rsidP="002B6D09">
            <w:pPr>
              <w:pStyle w:val="Listenabsatz"/>
              <w:numPr>
                <w:ilvl w:val="0"/>
                <w:numId w:val="2"/>
              </w:numPr>
              <w:ind w:left="363" w:hanging="287"/>
              <w:rPr>
                <w:sz w:val="20"/>
                <w:szCs w:val="20"/>
              </w:rPr>
            </w:pPr>
            <w:r w:rsidRPr="002B6D09">
              <w:rPr>
                <w:sz w:val="20"/>
                <w:szCs w:val="20"/>
              </w:rPr>
              <w:t>Erdgasverdichteranlagen</w:t>
            </w:r>
            <w:r w:rsidR="002B6D09" w:rsidRPr="002B6D09">
              <w:rPr>
                <w:sz w:val="20"/>
                <w:szCs w:val="20"/>
              </w:rPr>
              <w:t xml:space="preserve"> </w:t>
            </w:r>
            <w:r w:rsidRPr="002B6D09">
              <w:rPr>
                <w:sz w:val="20"/>
                <w:szCs w:val="20"/>
              </w:rPr>
              <w:t>20-60 Jahre</w:t>
            </w:r>
            <w:r w:rsidR="002B6D09" w:rsidRPr="002B6D09">
              <w:rPr>
                <w:sz w:val="20"/>
                <w:szCs w:val="20"/>
              </w:rPr>
              <w:t xml:space="preserve"> </w:t>
            </w:r>
            <w:r w:rsidRPr="002B6D09">
              <w:rPr>
                <w:sz w:val="20"/>
                <w:szCs w:val="20"/>
              </w:rPr>
              <w:t xml:space="preserve">Betrag im Kostenbasisjahr </w:t>
            </w:r>
            <w:r w:rsidR="00240929" w:rsidRPr="002B6D09">
              <w:rPr>
                <w:sz w:val="20"/>
                <w:szCs w:val="20"/>
              </w:rPr>
              <w:t>2020</w:t>
            </w:r>
            <w:r w:rsidRPr="002B6D09">
              <w:rPr>
                <w:sz w:val="20"/>
                <w:szCs w:val="20"/>
              </w:rPr>
              <w:t xml:space="preserve">: </w:t>
            </w:r>
            <w:r w:rsidR="002B6D09" w:rsidRPr="002B6D09">
              <w:rPr>
                <w:sz w:val="20"/>
                <w:szCs w:val="20"/>
              </w:rPr>
              <w:t>12.330.881 €</w:t>
            </w:r>
          </w:p>
          <w:p w14:paraId="15DCBCD0" w14:textId="3833C9E3" w:rsidR="002B6D09" w:rsidRDefault="00D36720" w:rsidP="002B6D09">
            <w:pPr>
              <w:pStyle w:val="Listenabsatz"/>
              <w:numPr>
                <w:ilvl w:val="0"/>
                <w:numId w:val="2"/>
              </w:numPr>
              <w:ind w:left="363" w:hanging="287"/>
              <w:rPr>
                <w:sz w:val="20"/>
                <w:szCs w:val="20"/>
              </w:rPr>
            </w:pPr>
            <w:r w:rsidRPr="002B6D09">
              <w:rPr>
                <w:sz w:val="20"/>
                <w:szCs w:val="20"/>
              </w:rPr>
              <w:t>Rohrleitungen/ Hausanschlussleitungen</w:t>
            </w:r>
            <w:r w:rsidR="002B6D09" w:rsidRPr="002B6D09">
              <w:rPr>
                <w:sz w:val="20"/>
                <w:szCs w:val="20"/>
              </w:rPr>
              <w:t xml:space="preserve"> </w:t>
            </w:r>
            <w:r w:rsidRPr="002B6D09">
              <w:rPr>
                <w:sz w:val="20"/>
                <w:szCs w:val="20"/>
              </w:rPr>
              <w:t>30-65 Jahre</w:t>
            </w:r>
            <w:r w:rsidR="002B6D09" w:rsidRPr="002B6D09">
              <w:rPr>
                <w:sz w:val="20"/>
                <w:szCs w:val="20"/>
              </w:rPr>
              <w:t xml:space="preserve"> </w:t>
            </w:r>
            <w:r w:rsidRPr="002B6D09">
              <w:rPr>
                <w:sz w:val="20"/>
                <w:szCs w:val="20"/>
              </w:rPr>
              <w:t xml:space="preserve">Betrag im Kostenbasisjahr </w:t>
            </w:r>
            <w:r w:rsidR="00240929" w:rsidRPr="002B6D09">
              <w:rPr>
                <w:sz w:val="20"/>
                <w:szCs w:val="20"/>
              </w:rPr>
              <w:t>2020</w:t>
            </w:r>
            <w:r w:rsidRPr="002B6D09">
              <w:rPr>
                <w:sz w:val="20"/>
                <w:szCs w:val="20"/>
              </w:rPr>
              <w:t xml:space="preserve">: </w:t>
            </w:r>
            <w:r w:rsidR="002B6D09" w:rsidRPr="002B6D09">
              <w:rPr>
                <w:sz w:val="20"/>
                <w:szCs w:val="20"/>
              </w:rPr>
              <w:t>2.606.395 €</w:t>
            </w:r>
          </w:p>
          <w:p w14:paraId="69D59D59" w14:textId="0D59FEC6" w:rsidR="002B6D09" w:rsidRDefault="00D36720" w:rsidP="002B6D09">
            <w:pPr>
              <w:pStyle w:val="Listenabsatz"/>
              <w:numPr>
                <w:ilvl w:val="0"/>
                <w:numId w:val="2"/>
              </w:numPr>
              <w:ind w:left="363" w:hanging="287"/>
              <w:rPr>
                <w:sz w:val="20"/>
                <w:szCs w:val="20"/>
              </w:rPr>
            </w:pPr>
            <w:r w:rsidRPr="002B6D09">
              <w:rPr>
                <w:sz w:val="20"/>
                <w:szCs w:val="20"/>
              </w:rPr>
              <w:lastRenderedPageBreak/>
              <w:t>Mess-, Regel- und Zähleranlagen</w:t>
            </w:r>
            <w:r w:rsidR="002B6D09" w:rsidRPr="002B6D09">
              <w:rPr>
                <w:sz w:val="20"/>
                <w:szCs w:val="20"/>
              </w:rPr>
              <w:t xml:space="preserve"> </w:t>
            </w:r>
            <w:r w:rsidRPr="002B6D09">
              <w:rPr>
                <w:sz w:val="20"/>
                <w:szCs w:val="20"/>
              </w:rPr>
              <w:t>8-60 Jahre</w:t>
            </w:r>
            <w:r w:rsidR="002B6D09" w:rsidRPr="002B6D09">
              <w:rPr>
                <w:sz w:val="20"/>
                <w:szCs w:val="20"/>
              </w:rPr>
              <w:t xml:space="preserve"> </w:t>
            </w:r>
            <w:r w:rsidRPr="002B6D09">
              <w:rPr>
                <w:sz w:val="20"/>
                <w:szCs w:val="20"/>
              </w:rPr>
              <w:t xml:space="preserve">Betrag im Kostenbasisjahr </w:t>
            </w:r>
            <w:r w:rsidR="00240929" w:rsidRPr="002B6D09">
              <w:rPr>
                <w:sz w:val="20"/>
                <w:szCs w:val="20"/>
              </w:rPr>
              <w:t>2020</w:t>
            </w:r>
            <w:r w:rsidRPr="002B6D09">
              <w:rPr>
                <w:sz w:val="20"/>
                <w:szCs w:val="20"/>
              </w:rPr>
              <w:t xml:space="preserve">: </w:t>
            </w:r>
            <w:r w:rsidR="002B6D09">
              <w:rPr>
                <w:sz w:val="20"/>
                <w:szCs w:val="20"/>
              </w:rPr>
              <w:t>560.704 €</w:t>
            </w:r>
          </w:p>
          <w:p w14:paraId="1488B023" w14:textId="4C970EFF" w:rsidR="00D36720" w:rsidRDefault="00D36720" w:rsidP="002B6D09">
            <w:pPr>
              <w:pStyle w:val="Listenabsatz"/>
              <w:numPr>
                <w:ilvl w:val="0"/>
                <w:numId w:val="2"/>
              </w:numPr>
              <w:ind w:left="363" w:hanging="287"/>
              <w:rPr>
                <w:sz w:val="20"/>
                <w:szCs w:val="20"/>
              </w:rPr>
            </w:pPr>
            <w:r w:rsidRPr="002B6D09">
              <w:rPr>
                <w:sz w:val="20"/>
                <w:szCs w:val="20"/>
              </w:rPr>
              <w:t>Fernwirkanlagen</w:t>
            </w:r>
            <w:r w:rsidR="002B6D09" w:rsidRPr="002B6D09">
              <w:rPr>
                <w:sz w:val="20"/>
                <w:szCs w:val="20"/>
              </w:rPr>
              <w:t xml:space="preserve"> </w:t>
            </w:r>
            <w:r w:rsidRPr="002B6D09">
              <w:rPr>
                <w:sz w:val="20"/>
                <w:szCs w:val="20"/>
              </w:rPr>
              <w:t>15-20 Jahre</w:t>
            </w:r>
            <w:r w:rsidR="002B6D09">
              <w:rPr>
                <w:sz w:val="20"/>
                <w:szCs w:val="20"/>
              </w:rPr>
              <w:t xml:space="preserve"> </w:t>
            </w:r>
            <w:r w:rsidRPr="002B6D09">
              <w:rPr>
                <w:sz w:val="20"/>
                <w:szCs w:val="20"/>
              </w:rPr>
              <w:t xml:space="preserve">Betrag im Kostenbasisjahr </w:t>
            </w:r>
            <w:r w:rsidR="00240929" w:rsidRPr="002B6D09">
              <w:rPr>
                <w:sz w:val="20"/>
                <w:szCs w:val="20"/>
              </w:rPr>
              <w:t>2020</w:t>
            </w:r>
            <w:r w:rsidRPr="002B6D09">
              <w:rPr>
                <w:sz w:val="20"/>
                <w:szCs w:val="20"/>
              </w:rPr>
              <w:t xml:space="preserve">: </w:t>
            </w:r>
            <w:r w:rsidR="002B6D09">
              <w:rPr>
                <w:sz w:val="20"/>
                <w:szCs w:val="20"/>
              </w:rPr>
              <w:t>83.</w:t>
            </w:r>
            <w:r w:rsidR="00851983">
              <w:rPr>
                <w:sz w:val="20"/>
                <w:szCs w:val="20"/>
              </w:rPr>
              <w:t>483</w:t>
            </w:r>
            <w:r w:rsidRPr="002B6D09">
              <w:rPr>
                <w:sz w:val="20"/>
                <w:szCs w:val="20"/>
              </w:rPr>
              <w:t xml:space="preserve"> €</w:t>
            </w:r>
          </w:p>
          <w:p w14:paraId="5A271F95" w14:textId="1023F2F4" w:rsidR="00851983" w:rsidRDefault="00851983" w:rsidP="00851983">
            <w:pPr>
              <w:rPr>
                <w:sz w:val="20"/>
                <w:szCs w:val="20"/>
              </w:rPr>
            </w:pPr>
            <w:r>
              <w:rPr>
                <w:sz w:val="20"/>
                <w:szCs w:val="20"/>
              </w:rPr>
              <w:t>Summe: 17.647.137</w:t>
            </w:r>
            <w:r w:rsidRPr="005C4F32">
              <w:rPr>
                <w:sz w:val="20"/>
                <w:szCs w:val="20"/>
              </w:rPr>
              <w:t xml:space="preserve"> €</w:t>
            </w:r>
          </w:p>
          <w:p w14:paraId="4E2C347C" w14:textId="77777777" w:rsidR="00851983" w:rsidRPr="00851983" w:rsidRDefault="00851983" w:rsidP="00851983">
            <w:pPr>
              <w:rPr>
                <w:sz w:val="20"/>
                <w:szCs w:val="20"/>
              </w:rPr>
            </w:pPr>
          </w:p>
          <w:p w14:paraId="742EBED0" w14:textId="224CD587" w:rsidR="00D36720" w:rsidRPr="005C4F32" w:rsidRDefault="00D36720" w:rsidP="000E7C4C">
            <w:pPr>
              <w:rPr>
                <w:sz w:val="20"/>
                <w:szCs w:val="20"/>
              </w:rPr>
            </w:pPr>
            <w:r w:rsidRPr="005C4F32">
              <w:rPr>
                <w:sz w:val="20"/>
                <w:szCs w:val="20"/>
              </w:rPr>
              <w:t xml:space="preserve">Operative Ausgaben des Kostenbasisjahres </w:t>
            </w:r>
            <w:r w:rsidR="00240929" w:rsidRPr="005C4F32">
              <w:rPr>
                <w:sz w:val="20"/>
                <w:szCs w:val="20"/>
              </w:rPr>
              <w:t>20</w:t>
            </w:r>
            <w:r w:rsidR="00240929">
              <w:rPr>
                <w:sz w:val="20"/>
                <w:szCs w:val="20"/>
              </w:rPr>
              <w:t>20</w:t>
            </w:r>
            <w:r w:rsidRPr="005C4F32">
              <w:rPr>
                <w:sz w:val="20"/>
                <w:szCs w:val="20"/>
              </w:rPr>
              <w:t>:</w:t>
            </w:r>
          </w:p>
          <w:p w14:paraId="405B3669" w14:textId="2F79FCD2" w:rsidR="00D36720" w:rsidRPr="007339E4" w:rsidRDefault="00851983" w:rsidP="000E7C4C">
            <w:pPr>
              <w:rPr>
                <w:sz w:val="20"/>
                <w:szCs w:val="20"/>
              </w:rPr>
            </w:pPr>
            <w:r w:rsidRPr="00851983">
              <w:rPr>
                <w:sz w:val="20"/>
                <w:szCs w:val="20"/>
              </w:rPr>
              <w:t xml:space="preserve">48.311.308 </w:t>
            </w:r>
            <w:r w:rsidR="00D36720" w:rsidRPr="005C4F32">
              <w:rPr>
                <w:sz w:val="20"/>
                <w:szCs w:val="20"/>
              </w:rPr>
              <w:t>€</w:t>
            </w:r>
          </w:p>
          <w:p w14:paraId="064335EF" w14:textId="77777777" w:rsidR="00D36720" w:rsidRPr="007339E4" w:rsidRDefault="00D36720" w:rsidP="000E7C4C">
            <w:pPr>
              <w:rPr>
                <w:sz w:val="20"/>
                <w:szCs w:val="20"/>
              </w:rPr>
            </w:pPr>
          </w:p>
          <w:p w14:paraId="5B78D8DB" w14:textId="77777777" w:rsidR="00D36720" w:rsidRPr="007339E4" w:rsidRDefault="00D36720" w:rsidP="000E7C4C">
            <w:pPr>
              <w:rPr>
                <w:sz w:val="20"/>
                <w:szCs w:val="20"/>
              </w:rPr>
            </w:pPr>
            <w:r w:rsidRPr="007339E4">
              <w:rPr>
                <w:sz w:val="20"/>
                <w:szCs w:val="20"/>
              </w:rPr>
              <w:t>Die deutschen Fernleitungsnetzbetreiber unterliegen dem System der Anreizregulierung gemäß den Vorgaben der ARegV, §§12-16 regeln hierbei Anreizmechanismen und Effizienzziele.</w:t>
            </w:r>
          </w:p>
          <w:p w14:paraId="46242AE4" w14:textId="77777777" w:rsidR="00D36720" w:rsidRPr="007339E4" w:rsidRDefault="00D36720" w:rsidP="000E7C4C">
            <w:pPr>
              <w:rPr>
                <w:sz w:val="20"/>
                <w:szCs w:val="20"/>
              </w:rPr>
            </w:pPr>
          </w:p>
          <w:p w14:paraId="748E44CB" w14:textId="77777777" w:rsidR="00D36720" w:rsidRPr="007339E4" w:rsidRDefault="00D36720" w:rsidP="000E7C4C">
            <w:pPr>
              <w:rPr>
                <w:sz w:val="20"/>
                <w:szCs w:val="20"/>
              </w:rPr>
            </w:pPr>
            <w:r w:rsidRPr="007339E4">
              <w:rPr>
                <w:sz w:val="20"/>
                <w:szCs w:val="20"/>
              </w:rPr>
              <w:t>Der Erlösobergrenze eines Netzbetreibers, die für die Regulierungsperiode (5 Jahre) bestimmt wird, liegen die Kosten zu Grunde, welche im Basisjahr (Jahr 3 vor der neuen Regulierungsperiode) beim Netzbetreiber entstanden und von der Regulierungsbehörde geprüft sind. Des Weiteren wird ein Effizienzvergleich zwischen den Fernleitungsnetzbetreibern durchgeführt und auf Basis deren Aufwands- und Strukturparameter unternehmensindividuelle Effizienzwerte ermittelt. Etwaige Ineffizienzen sind über die Dauer einer Regulierungsperiode abzubauen.</w:t>
            </w:r>
          </w:p>
          <w:p w14:paraId="10F20307" w14:textId="77777777" w:rsidR="00D36720" w:rsidRPr="007339E4" w:rsidRDefault="00D36720" w:rsidP="000E7C4C">
            <w:pPr>
              <w:rPr>
                <w:sz w:val="20"/>
                <w:szCs w:val="20"/>
              </w:rPr>
            </w:pPr>
          </w:p>
          <w:p w14:paraId="2F6AF0F2" w14:textId="531393E9" w:rsidR="00D36720" w:rsidRPr="007339E4" w:rsidRDefault="00D36720" w:rsidP="000E7C4C">
            <w:pPr>
              <w:rPr>
                <w:sz w:val="20"/>
                <w:szCs w:val="20"/>
              </w:rPr>
            </w:pPr>
            <w:r w:rsidRPr="13649CF3">
              <w:rPr>
                <w:sz w:val="20"/>
                <w:szCs w:val="20"/>
              </w:rPr>
              <w:t>Ebenfalls berechnet die Regulierungsbehörde einen generell</w:t>
            </w:r>
            <w:r w:rsidRPr="00B02C1E">
              <w:rPr>
                <w:sz w:val="20"/>
                <w:szCs w:val="20"/>
              </w:rPr>
              <w:t>en sektoralen Produktivitätsfaktor</w:t>
            </w:r>
            <w:r w:rsidRPr="13649CF3">
              <w:rPr>
                <w:sz w:val="20"/>
                <w:szCs w:val="20"/>
              </w:rPr>
              <w:t xml:space="preserve">, der für alle Fernleitungsnetzbetreiber einheitlich zur Anwendung kommt. </w:t>
            </w:r>
            <w:r w:rsidR="00125BFC" w:rsidRPr="13649CF3">
              <w:rPr>
                <w:sz w:val="20"/>
                <w:szCs w:val="20"/>
              </w:rPr>
              <w:t>Der generelle sektorale Produktivitätsfaktor für die dritte Regulierungsperiode wurde auf 0,49% festgelegt. Da für die vierte Regulierungsperiode noch kein finaler Wert durch die BNetzA ermittelt wurde, wurde eine Fortschreibung des Wertes aus der dritten Regulierungsperiode vorgenommen.</w:t>
            </w:r>
          </w:p>
          <w:p w14:paraId="34AA3FBE" w14:textId="77777777" w:rsidR="00D36720" w:rsidRPr="007339E4" w:rsidRDefault="00D36720" w:rsidP="000E7C4C">
            <w:pPr>
              <w:rPr>
                <w:sz w:val="20"/>
                <w:szCs w:val="20"/>
              </w:rPr>
            </w:pPr>
          </w:p>
          <w:p w14:paraId="025C2EF9" w14:textId="1DC42008" w:rsidR="00D36720" w:rsidRPr="005C4F32" w:rsidRDefault="00D36720" w:rsidP="000E7C4C">
            <w:pPr>
              <w:rPr>
                <w:sz w:val="20"/>
                <w:szCs w:val="20"/>
              </w:rPr>
            </w:pPr>
            <w:r w:rsidRPr="00B02C1E">
              <w:rPr>
                <w:sz w:val="20"/>
                <w:szCs w:val="20"/>
              </w:rPr>
              <w:t>Der individuelle Effizienzwert</w:t>
            </w:r>
            <w:r w:rsidRPr="13649CF3">
              <w:rPr>
                <w:sz w:val="20"/>
                <w:szCs w:val="20"/>
              </w:rPr>
              <w:t xml:space="preserve"> der GRTgaz Deutschland beträgt 100% für die Jahre </w:t>
            </w:r>
            <w:r w:rsidR="00015832" w:rsidRPr="13649CF3">
              <w:rPr>
                <w:sz w:val="20"/>
                <w:szCs w:val="20"/>
              </w:rPr>
              <w:t>2023</w:t>
            </w:r>
            <w:r w:rsidRPr="13649CF3">
              <w:rPr>
                <w:sz w:val="20"/>
                <w:szCs w:val="20"/>
              </w:rPr>
              <w:t>-202</w:t>
            </w:r>
            <w:r w:rsidR="00015832" w:rsidRPr="13649CF3">
              <w:rPr>
                <w:sz w:val="20"/>
                <w:szCs w:val="20"/>
              </w:rPr>
              <w:t>7</w:t>
            </w:r>
          </w:p>
          <w:p w14:paraId="2582BCDB" w14:textId="77777777" w:rsidR="00D36720" w:rsidRPr="005C4F32" w:rsidRDefault="00D36720" w:rsidP="000E7C4C">
            <w:pPr>
              <w:rPr>
                <w:sz w:val="20"/>
                <w:szCs w:val="20"/>
              </w:rPr>
            </w:pPr>
          </w:p>
          <w:p w14:paraId="2393F275" w14:textId="79C55766" w:rsidR="00D36720" w:rsidRPr="0053622B" w:rsidRDefault="00275C7A" w:rsidP="000E7C4C">
            <w:pPr>
              <w:rPr>
                <w:sz w:val="20"/>
                <w:szCs w:val="20"/>
              </w:rPr>
            </w:pPr>
            <w:r w:rsidRPr="13649CF3">
              <w:rPr>
                <w:sz w:val="20"/>
                <w:szCs w:val="20"/>
              </w:rPr>
              <w:t xml:space="preserve">Der zur Bestimmung der zulässigen Erlöse </w:t>
            </w:r>
            <w:r w:rsidR="00015832" w:rsidRPr="13649CF3">
              <w:rPr>
                <w:sz w:val="20"/>
                <w:szCs w:val="20"/>
              </w:rPr>
              <w:t xml:space="preserve">2024 </w:t>
            </w:r>
            <w:r w:rsidRPr="13649CF3">
              <w:rPr>
                <w:sz w:val="20"/>
                <w:szCs w:val="20"/>
              </w:rPr>
              <w:t>verwendete Inflationsindex (t-2) beträgt: VPI 202</w:t>
            </w:r>
            <w:r w:rsidR="00015832" w:rsidRPr="13649CF3">
              <w:rPr>
                <w:sz w:val="20"/>
                <w:szCs w:val="20"/>
              </w:rPr>
              <w:t>2</w:t>
            </w:r>
            <w:r w:rsidR="00D36720" w:rsidRPr="13649CF3">
              <w:rPr>
                <w:sz w:val="20"/>
                <w:szCs w:val="20"/>
              </w:rPr>
              <w:t xml:space="preserve">: </w:t>
            </w:r>
            <w:r w:rsidRPr="13649CF3">
              <w:rPr>
                <w:sz w:val="20"/>
                <w:szCs w:val="20"/>
              </w:rPr>
              <w:t>1</w:t>
            </w:r>
            <w:r w:rsidR="00015832" w:rsidRPr="13649CF3">
              <w:rPr>
                <w:sz w:val="20"/>
                <w:szCs w:val="20"/>
              </w:rPr>
              <w:t>16,6</w:t>
            </w:r>
            <w:r w:rsidR="00D36720" w:rsidRPr="13649CF3">
              <w:rPr>
                <w:sz w:val="20"/>
                <w:szCs w:val="20"/>
              </w:rPr>
              <w:t xml:space="preserve">% </w:t>
            </w:r>
            <w:r w:rsidRPr="13649CF3">
              <w:rPr>
                <w:sz w:val="20"/>
                <w:szCs w:val="20"/>
              </w:rPr>
              <w:t>(+</w:t>
            </w:r>
            <w:r w:rsidR="00015832" w:rsidRPr="13649CF3">
              <w:rPr>
                <w:sz w:val="20"/>
                <w:szCs w:val="20"/>
              </w:rPr>
              <w:t>7,</w:t>
            </w:r>
            <w:r w:rsidR="00BA2830" w:rsidRPr="13649CF3">
              <w:rPr>
                <w:sz w:val="20"/>
                <w:szCs w:val="20"/>
              </w:rPr>
              <w:t>1</w:t>
            </w:r>
            <w:r w:rsidRPr="13649CF3">
              <w:rPr>
                <w:sz w:val="20"/>
                <w:szCs w:val="20"/>
              </w:rPr>
              <w:t xml:space="preserve">% ggü. Vorjahr) </w:t>
            </w:r>
          </w:p>
        </w:tc>
        <w:tc>
          <w:tcPr>
            <w:tcW w:w="1984" w:type="dxa"/>
          </w:tcPr>
          <w:p w14:paraId="7DC93543" w14:textId="77777777" w:rsidR="00D36720" w:rsidRPr="00532D01" w:rsidRDefault="00D36720" w:rsidP="000E7C4C">
            <w:pPr>
              <w:rPr>
                <w:sz w:val="20"/>
                <w:szCs w:val="20"/>
                <w:lang w:val="en-GB"/>
              </w:rPr>
            </w:pPr>
            <w:r w:rsidRPr="00532D01">
              <w:rPr>
                <w:sz w:val="20"/>
                <w:szCs w:val="20"/>
                <w:lang w:val="en-GB"/>
              </w:rPr>
              <w:lastRenderedPageBreak/>
              <w:t xml:space="preserve">Information related to the following Parameters: types of assets, cost of capital, capital and operational expenditures, incentive mechanisms </w:t>
            </w:r>
            <w:r w:rsidRPr="00532D01">
              <w:rPr>
                <w:sz w:val="20"/>
                <w:szCs w:val="20"/>
                <w:lang w:val="en-GB"/>
              </w:rPr>
              <w:lastRenderedPageBreak/>
              <w:t>and efficiency targets, inflation indices</w:t>
            </w:r>
          </w:p>
        </w:tc>
        <w:tc>
          <w:tcPr>
            <w:tcW w:w="5103" w:type="dxa"/>
          </w:tcPr>
          <w:p w14:paraId="2B0D4579" w14:textId="31647FCB" w:rsidR="00D36720" w:rsidRPr="00B54B24" w:rsidRDefault="00D36720" w:rsidP="000E7C4C">
            <w:pPr>
              <w:rPr>
                <w:sz w:val="20"/>
                <w:szCs w:val="20"/>
                <w:lang w:val="en-GB"/>
              </w:rPr>
            </w:pPr>
            <w:r w:rsidRPr="00B54B24">
              <w:rPr>
                <w:sz w:val="20"/>
                <w:szCs w:val="20"/>
                <w:lang w:val="en-GB"/>
              </w:rPr>
              <w:lastRenderedPageBreak/>
              <w:t>Regulated asset base of cost base year 20</w:t>
            </w:r>
            <w:r w:rsidR="00240929">
              <w:rPr>
                <w:sz w:val="20"/>
                <w:szCs w:val="20"/>
                <w:lang w:val="en-GB"/>
              </w:rPr>
              <w:t>20</w:t>
            </w:r>
            <w:r w:rsidRPr="00B54B24">
              <w:rPr>
                <w:sz w:val="20"/>
                <w:szCs w:val="20"/>
                <w:lang w:val="en-GB"/>
              </w:rPr>
              <w:t>:</w:t>
            </w:r>
            <w:r w:rsidRPr="00B54B24">
              <w:rPr>
                <w:sz w:val="20"/>
                <w:szCs w:val="20"/>
                <w:lang w:val="en-GB"/>
              </w:rPr>
              <w:br/>
              <w:t>34</w:t>
            </w:r>
            <w:r w:rsidR="00240929">
              <w:rPr>
                <w:sz w:val="20"/>
                <w:szCs w:val="20"/>
                <w:lang w:val="en-GB"/>
              </w:rPr>
              <w:t>9</w:t>
            </w:r>
            <w:r w:rsidRPr="00B54B24">
              <w:rPr>
                <w:sz w:val="20"/>
                <w:szCs w:val="20"/>
                <w:lang w:val="en-GB"/>
              </w:rPr>
              <w:t>,</w:t>
            </w:r>
            <w:r w:rsidR="00240929">
              <w:rPr>
                <w:sz w:val="20"/>
                <w:szCs w:val="20"/>
                <w:lang w:val="en-GB"/>
              </w:rPr>
              <w:t>999</w:t>
            </w:r>
            <w:r w:rsidRPr="00B54B24">
              <w:rPr>
                <w:sz w:val="20"/>
                <w:szCs w:val="20"/>
                <w:lang w:val="en-GB"/>
              </w:rPr>
              <w:t>,</w:t>
            </w:r>
            <w:r w:rsidR="00240929">
              <w:rPr>
                <w:sz w:val="20"/>
                <w:szCs w:val="20"/>
                <w:lang w:val="en-GB"/>
              </w:rPr>
              <w:t>999</w:t>
            </w:r>
            <w:r w:rsidRPr="00B54B24">
              <w:rPr>
                <w:sz w:val="20"/>
                <w:szCs w:val="20"/>
                <w:lang w:val="en-GB"/>
              </w:rPr>
              <w:t xml:space="preserve"> €</w:t>
            </w:r>
            <w:r w:rsidRPr="00B54B24">
              <w:rPr>
                <w:sz w:val="20"/>
                <w:szCs w:val="20"/>
                <w:lang w:val="en-GB"/>
              </w:rPr>
              <w:br/>
            </w:r>
            <w:r w:rsidRPr="00B54B24">
              <w:rPr>
                <w:sz w:val="20"/>
                <w:szCs w:val="20"/>
                <w:lang w:val="en-GB"/>
              </w:rPr>
              <w:br/>
              <w:t>Types of regulated assets (see Annex 1 of GasNEV):</w:t>
            </w:r>
          </w:p>
          <w:p w14:paraId="372F0FCB" w14:textId="4CD3B50E" w:rsidR="00D36720" w:rsidRPr="00820EDB" w:rsidRDefault="00D36720" w:rsidP="00820EDB">
            <w:pPr>
              <w:pStyle w:val="Listenabsatz"/>
              <w:numPr>
                <w:ilvl w:val="0"/>
                <w:numId w:val="3"/>
              </w:numPr>
              <w:rPr>
                <w:sz w:val="20"/>
                <w:szCs w:val="20"/>
                <w:lang w:val="en-GB"/>
              </w:rPr>
            </w:pPr>
            <w:r w:rsidRPr="00820EDB">
              <w:rPr>
                <w:sz w:val="20"/>
                <w:szCs w:val="20"/>
                <w:lang w:val="en-GB"/>
              </w:rPr>
              <w:t>General installations</w:t>
            </w:r>
            <w:r w:rsidRPr="00820EDB">
              <w:rPr>
                <w:sz w:val="20"/>
                <w:szCs w:val="20"/>
                <w:lang w:val="en-GB"/>
              </w:rPr>
              <w:br/>
              <w:t>amount in cost base year 20</w:t>
            </w:r>
            <w:r w:rsidR="00B2452F" w:rsidRPr="00820EDB">
              <w:rPr>
                <w:sz w:val="20"/>
                <w:szCs w:val="20"/>
                <w:lang w:val="en-GB"/>
              </w:rPr>
              <w:t>20</w:t>
            </w:r>
            <w:r w:rsidRPr="00820EDB">
              <w:rPr>
                <w:sz w:val="20"/>
                <w:szCs w:val="20"/>
                <w:lang w:val="en-GB"/>
              </w:rPr>
              <w:t>: 30,302,912 €</w:t>
            </w:r>
            <w:r w:rsidRPr="00820EDB">
              <w:rPr>
                <w:sz w:val="20"/>
                <w:szCs w:val="20"/>
                <w:lang w:val="en-GB"/>
              </w:rPr>
              <w:br/>
              <w:t>II.  Gas container</w:t>
            </w:r>
            <w:r w:rsidRPr="00820EDB">
              <w:rPr>
                <w:sz w:val="20"/>
                <w:szCs w:val="20"/>
                <w:lang w:val="en-GB"/>
              </w:rPr>
              <w:br/>
              <w:t xml:space="preserve">amount in cost base year </w:t>
            </w:r>
            <w:r w:rsidR="00240929" w:rsidRPr="00820EDB">
              <w:rPr>
                <w:sz w:val="20"/>
                <w:szCs w:val="20"/>
                <w:lang w:val="en-GB"/>
              </w:rPr>
              <w:t>2020</w:t>
            </w:r>
            <w:r w:rsidRPr="00820EDB">
              <w:rPr>
                <w:sz w:val="20"/>
                <w:szCs w:val="20"/>
                <w:lang w:val="en-GB"/>
              </w:rPr>
              <w:t>: 0 €</w:t>
            </w:r>
            <w:r w:rsidRPr="00820EDB">
              <w:rPr>
                <w:sz w:val="20"/>
                <w:szCs w:val="20"/>
                <w:lang w:val="en-GB"/>
              </w:rPr>
              <w:br/>
            </w:r>
            <w:r w:rsidRPr="00820EDB">
              <w:rPr>
                <w:sz w:val="20"/>
                <w:szCs w:val="20"/>
                <w:lang w:val="en-GB"/>
              </w:rPr>
              <w:lastRenderedPageBreak/>
              <w:t>III. Compressor stations</w:t>
            </w:r>
            <w:r w:rsidRPr="00820EDB">
              <w:rPr>
                <w:sz w:val="20"/>
                <w:szCs w:val="20"/>
                <w:lang w:val="en-GB"/>
              </w:rPr>
              <w:br/>
              <w:t xml:space="preserve">amount in cost base year </w:t>
            </w:r>
            <w:r w:rsidR="00240929" w:rsidRPr="00820EDB">
              <w:rPr>
                <w:sz w:val="20"/>
                <w:szCs w:val="20"/>
                <w:lang w:val="en-GB"/>
              </w:rPr>
              <w:t>2020</w:t>
            </w:r>
            <w:r w:rsidRPr="00820EDB">
              <w:rPr>
                <w:sz w:val="20"/>
                <w:szCs w:val="20"/>
                <w:lang w:val="en-GB"/>
              </w:rPr>
              <w:t>: 85,583,818 €</w:t>
            </w:r>
            <w:r w:rsidRPr="00820EDB">
              <w:rPr>
                <w:sz w:val="20"/>
                <w:szCs w:val="20"/>
                <w:lang w:val="en-GB"/>
              </w:rPr>
              <w:br/>
              <w:t>IV.Pipelines/ House connection pipelines</w:t>
            </w:r>
            <w:r w:rsidRPr="00820EDB">
              <w:rPr>
                <w:sz w:val="20"/>
                <w:szCs w:val="20"/>
                <w:lang w:val="en-GB"/>
              </w:rPr>
              <w:br/>
              <w:t xml:space="preserve">amount in cost base year </w:t>
            </w:r>
            <w:r w:rsidR="00240929" w:rsidRPr="00820EDB">
              <w:rPr>
                <w:sz w:val="20"/>
                <w:szCs w:val="20"/>
                <w:lang w:val="en-GB"/>
              </w:rPr>
              <w:t>2020</w:t>
            </w:r>
            <w:r w:rsidRPr="00820EDB">
              <w:rPr>
                <w:sz w:val="20"/>
                <w:szCs w:val="20"/>
                <w:lang w:val="en-GB"/>
              </w:rPr>
              <w:t>: 220,159,360 €</w:t>
            </w:r>
            <w:r w:rsidRPr="00820EDB">
              <w:rPr>
                <w:sz w:val="20"/>
                <w:szCs w:val="20"/>
                <w:lang w:val="en-GB"/>
              </w:rPr>
              <w:br/>
              <w:t>V.  Measuring, control and metering installations</w:t>
            </w:r>
            <w:r w:rsidRPr="00820EDB">
              <w:rPr>
                <w:sz w:val="20"/>
                <w:szCs w:val="20"/>
                <w:lang w:val="en-GB"/>
              </w:rPr>
              <w:br/>
              <w:t xml:space="preserve">amount in cost base year </w:t>
            </w:r>
            <w:r w:rsidR="00240929" w:rsidRPr="00820EDB">
              <w:rPr>
                <w:sz w:val="20"/>
                <w:szCs w:val="20"/>
                <w:lang w:val="en-GB"/>
              </w:rPr>
              <w:t>2020</w:t>
            </w:r>
            <w:r w:rsidRPr="00820EDB">
              <w:rPr>
                <w:sz w:val="20"/>
                <w:szCs w:val="20"/>
                <w:lang w:val="en-GB"/>
              </w:rPr>
              <w:t>: 8,953,820 €</w:t>
            </w:r>
            <w:r w:rsidRPr="00820EDB">
              <w:rPr>
                <w:sz w:val="20"/>
                <w:szCs w:val="20"/>
                <w:lang w:val="en-GB"/>
              </w:rPr>
              <w:br/>
              <w:t>VI.Remote control installations</w:t>
            </w:r>
            <w:r w:rsidRPr="00820EDB">
              <w:rPr>
                <w:sz w:val="20"/>
                <w:szCs w:val="20"/>
                <w:lang w:val="en-GB"/>
              </w:rPr>
              <w:br/>
              <w:t xml:space="preserve">amount in cost base year </w:t>
            </w:r>
            <w:r w:rsidR="00240929" w:rsidRPr="00820EDB">
              <w:rPr>
                <w:sz w:val="20"/>
                <w:szCs w:val="20"/>
                <w:lang w:val="en-GB"/>
              </w:rPr>
              <w:t>2020</w:t>
            </w:r>
            <w:r w:rsidRPr="00820EDB">
              <w:rPr>
                <w:sz w:val="20"/>
                <w:szCs w:val="20"/>
                <w:lang w:val="en-GB"/>
              </w:rPr>
              <w:t>: 658,859 €</w:t>
            </w:r>
          </w:p>
          <w:p w14:paraId="237DBA9C" w14:textId="7BCAA4C3" w:rsidR="00D36720" w:rsidRPr="00B54B24" w:rsidRDefault="00D36720" w:rsidP="000E7C4C">
            <w:pPr>
              <w:rPr>
                <w:sz w:val="20"/>
                <w:szCs w:val="20"/>
                <w:lang w:val="en-GB"/>
              </w:rPr>
            </w:pPr>
            <w:r w:rsidRPr="00B54B24">
              <w:rPr>
                <w:sz w:val="20"/>
                <w:szCs w:val="20"/>
                <w:lang w:val="en-GB"/>
              </w:rPr>
              <w:br/>
              <w:t xml:space="preserve">Cost of capital of cost base year </w:t>
            </w:r>
            <w:r w:rsidR="00240929" w:rsidRPr="00240929">
              <w:rPr>
                <w:sz w:val="20"/>
                <w:szCs w:val="20"/>
                <w:lang w:val="en-GB"/>
              </w:rPr>
              <w:t>2020</w:t>
            </w:r>
            <w:r w:rsidRPr="00B54B24">
              <w:rPr>
                <w:sz w:val="20"/>
                <w:szCs w:val="20"/>
                <w:lang w:val="en-GB"/>
              </w:rPr>
              <w:t>:</w:t>
            </w:r>
            <w:r w:rsidRPr="00B54B24">
              <w:rPr>
                <w:sz w:val="20"/>
                <w:szCs w:val="20"/>
                <w:lang w:val="en-GB"/>
              </w:rPr>
              <w:br/>
              <w:t>26,006,855 €</w:t>
            </w:r>
            <w:r w:rsidRPr="00B54B24">
              <w:rPr>
                <w:sz w:val="20"/>
                <w:szCs w:val="20"/>
                <w:lang w:val="en-GB"/>
              </w:rPr>
              <w:br/>
              <w:t>The methodology to calculate the cost of capital are determined in sections 6-8 GasNEV.</w:t>
            </w:r>
          </w:p>
          <w:p w14:paraId="296CC0AD" w14:textId="77777777" w:rsidR="00D36720" w:rsidRPr="00B54B24" w:rsidRDefault="00D36720" w:rsidP="000E7C4C">
            <w:pPr>
              <w:rPr>
                <w:sz w:val="20"/>
                <w:szCs w:val="20"/>
                <w:lang w:val="en-GB"/>
              </w:rPr>
            </w:pPr>
          </w:p>
          <w:p w14:paraId="24EFDDD7" w14:textId="77777777" w:rsidR="00240929" w:rsidRPr="00240929" w:rsidRDefault="00D36720" w:rsidP="00240929">
            <w:pPr>
              <w:rPr>
                <w:sz w:val="20"/>
                <w:szCs w:val="20"/>
                <w:lang w:val="en-GB"/>
              </w:rPr>
            </w:pPr>
            <w:r w:rsidRPr="00B54B24">
              <w:rPr>
                <w:sz w:val="20"/>
                <w:szCs w:val="20"/>
                <w:lang w:val="en-GB"/>
              </w:rPr>
              <w:t>The capital expenditures are determined on the basis of the historical procurement and manufacturing costs of the asset. There is no re-evaluation of assets foreseen in the German incentive regulation. The assets are depreciated on a linear basis in accordance with section 6(5) GasNEV. The depreciation period are set in Annex 1 GasNEV.</w:t>
            </w:r>
            <w:r w:rsidRPr="00B54B24">
              <w:rPr>
                <w:sz w:val="20"/>
                <w:szCs w:val="20"/>
                <w:lang w:val="en-GB"/>
              </w:rPr>
              <w:br/>
            </w:r>
            <w:r w:rsidRPr="00B54B24">
              <w:rPr>
                <w:sz w:val="20"/>
                <w:szCs w:val="20"/>
                <w:lang w:val="en-GB"/>
              </w:rPr>
              <w:br/>
              <w:t>Depreciation periods and amounts per asset type:</w:t>
            </w:r>
            <w:r w:rsidRPr="00B54B24">
              <w:rPr>
                <w:sz w:val="20"/>
                <w:szCs w:val="20"/>
                <w:lang w:val="en-GB"/>
              </w:rPr>
              <w:br/>
            </w:r>
            <w:r w:rsidR="00240929" w:rsidRPr="00240929">
              <w:rPr>
                <w:sz w:val="20"/>
                <w:szCs w:val="20"/>
                <w:lang w:val="en-GB"/>
              </w:rPr>
              <w:t>Trading Hub Europe market area</w:t>
            </w:r>
          </w:p>
          <w:p w14:paraId="211E3D93" w14:textId="14801A53" w:rsidR="00240929" w:rsidRPr="002B6D09" w:rsidRDefault="00240929" w:rsidP="002B6D09">
            <w:pPr>
              <w:pStyle w:val="Listenabsatz"/>
              <w:numPr>
                <w:ilvl w:val="0"/>
                <w:numId w:val="1"/>
              </w:numPr>
              <w:ind w:left="354" w:hanging="277"/>
              <w:rPr>
                <w:sz w:val="20"/>
                <w:szCs w:val="20"/>
                <w:lang w:val="en-GB"/>
              </w:rPr>
            </w:pPr>
            <w:r w:rsidRPr="002B6D09">
              <w:rPr>
                <w:sz w:val="20"/>
                <w:szCs w:val="20"/>
                <w:lang w:val="en-GB"/>
              </w:rPr>
              <w:t>General assets: 3-70 years (no depreciation for land); 2</w:t>
            </w:r>
            <w:r w:rsidR="00851983">
              <w:rPr>
                <w:sz w:val="20"/>
                <w:szCs w:val="20"/>
                <w:lang w:val="en-GB"/>
              </w:rPr>
              <w:t>,</w:t>
            </w:r>
            <w:r w:rsidRPr="002B6D09">
              <w:rPr>
                <w:sz w:val="20"/>
                <w:szCs w:val="20"/>
                <w:lang w:val="en-GB"/>
              </w:rPr>
              <w:t>065</w:t>
            </w:r>
            <w:r w:rsidR="00851983">
              <w:rPr>
                <w:sz w:val="20"/>
                <w:szCs w:val="20"/>
                <w:lang w:val="en-GB"/>
              </w:rPr>
              <w:t>,</w:t>
            </w:r>
            <w:r w:rsidRPr="002B6D09">
              <w:rPr>
                <w:sz w:val="20"/>
                <w:szCs w:val="20"/>
                <w:lang w:val="en-GB"/>
              </w:rPr>
              <w:t>675 €</w:t>
            </w:r>
          </w:p>
          <w:p w14:paraId="202CFA49" w14:textId="3E9044AB" w:rsidR="00240929" w:rsidRPr="002B6D09" w:rsidRDefault="00240929" w:rsidP="002B6D09">
            <w:pPr>
              <w:pStyle w:val="Listenabsatz"/>
              <w:numPr>
                <w:ilvl w:val="0"/>
                <w:numId w:val="1"/>
              </w:numPr>
              <w:ind w:left="354" w:hanging="277"/>
              <w:rPr>
                <w:sz w:val="20"/>
                <w:szCs w:val="20"/>
                <w:lang w:val="en-GB"/>
              </w:rPr>
            </w:pPr>
            <w:r w:rsidRPr="002B6D09">
              <w:rPr>
                <w:sz w:val="20"/>
                <w:szCs w:val="20"/>
                <w:lang w:val="en-GB"/>
              </w:rPr>
              <w:t>Gas container: 45-55 years; 0 €</w:t>
            </w:r>
          </w:p>
          <w:p w14:paraId="4CCA8888" w14:textId="1E5F7233" w:rsidR="002B6D09" w:rsidRDefault="00240929" w:rsidP="002B6D09">
            <w:pPr>
              <w:pStyle w:val="Listenabsatz"/>
              <w:numPr>
                <w:ilvl w:val="0"/>
                <w:numId w:val="1"/>
              </w:numPr>
              <w:ind w:left="354" w:hanging="277"/>
              <w:rPr>
                <w:sz w:val="20"/>
                <w:szCs w:val="20"/>
                <w:lang w:val="en-GB"/>
              </w:rPr>
            </w:pPr>
            <w:r w:rsidRPr="002B6D09">
              <w:rPr>
                <w:sz w:val="20"/>
                <w:szCs w:val="20"/>
                <w:lang w:val="en-GB"/>
              </w:rPr>
              <w:t>Compressor stations: 20-60 years; 12</w:t>
            </w:r>
            <w:r w:rsidR="00851983">
              <w:rPr>
                <w:sz w:val="20"/>
                <w:szCs w:val="20"/>
                <w:lang w:val="en-GB"/>
              </w:rPr>
              <w:t>,</w:t>
            </w:r>
            <w:r w:rsidRPr="002B6D09">
              <w:rPr>
                <w:sz w:val="20"/>
                <w:szCs w:val="20"/>
                <w:lang w:val="en-GB"/>
              </w:rPr>
              <w:t>330</w:t>
            </w:r>
            <w:r w:rsidR="00851983">
              <w:rPr>
                <w:sz w:val="20"/>
                <w:szCs w:val="20"/>
                <w:lang w:val="en-GB"/>
              </w:rPr>
              <w:t>,</w:t>
            </w:r>
            <w:r w:rsidRPr="002B6D09">
              <w:rPr>
                <w:sz w:val="20"/>
                <w:szCs w:val="20"/>
                <w:lang w:val="en-GB"/>
              </w:rPr>
              <w:t>881 €</w:t>
            </w:r>
          </w:p>
          <w:p w14:paraId="41731BA2" w14:textId="6002970C" w:rsidR="002B6D09" w:rsidRDefault="00240929" w:rsidP="002B6D09">
            <w:pPr>
              <w:pStyle w:val="Listenabsatz"/>
              <w:numPr>
                <w:ilvl w:val="0"/>
                <w:numId w:val="1"/>
              </w:numPr>
              <w:ind w:left="354" w:hanging="277"/>
              <w:rPr>
                <w:sz w:val="20"/>
                <w:szCs w:val="20"/>
                <w:lang w:val="en-GB"/>
              </w:rPr>
            </w:pPr>
            <w:r w:rsidRPr="002B6D09">
              <w:rPr>
                <w:sz w:val="20"/>
                <w:szCs w:val="20"/>
                <w:lang w:val="en-GB"/>
              </w:rPr>
              <w:t>Pipelines: 30-65 years; 2</w:t>
            </w:r>
            <w:r w:rsidR="00851983">
              <w:rPr>
                <w:sz w:val="20"/>
                <w:szCs w:val="20"/>
                <w:lang w:val="en-GB"/>
              </w:rPr>
              <w:t>,</w:t>
            </w:r>
            <w:r w:rsidRPr="002B6D09">
              <w:rPr>
                <w:sz w:val="20"/>
                <w:szCs w:val="20"/>
                <w:lang w:val="en-GB"/>
              </w:rPr>
              <w:t>606</w:t>
            </w:r>
            <w:r w:rsidR="00851983">
              <w:rPr>
                <w:sz w:val="20"/>
                <w:szCs w:val="20"/>
                <w:lang w:val="en-GB"/>
              </w:rPr>
              <w:t>,</w:t>
            </w:r>
            <w:r w:rsidRPr="002B6D09">
              <w:rPr>
                <w:sz w:val="20"/>
                <w:szCs w:val="20"/>
                <w:lang w:val="en-GB"/>
              </w:rPr>
              <w:t>395 €</w:t>
            </w:r>
          </w:p>
          <w:p w14:paraId="31B5BEF6" w14:textId="1373F1D6" w:rsidR="002B6D09" w:rsidRDefault="00240929" w:rsidP="002B6D09">
            <w:pPr>
              <w:pStyle w:val="Listenabsatz"/>
              <w:numPr>
                <w:ilvl w:val="0"/>
                <w:numId w:val="1"/>
              </w:numPr>
              <w:ind w:left="354" w:hanging="277"/>
              <w:rPr>
                <w:sz w:val="20"/>
                <w:szCs w:val="20"/>
                <w:lang w:val="en-GB"/>
              </w:rPr>
            </w:pPr>
            <w:r w:rsidRPr="002B6D09">
              <w:rPr>
                <w:sz w:val="20"/>
                <w:szCs w:val="20"/>
                <w:lang w:val="en-GB"/>
              </w:rPr>
              <w:t>M+R stations: 8-60 years; 560</w:t>
            </w:r>
            <w:r w:rsidR="00851983">
              <w:rPr>
                <w:sz w:val="20"/>
                <w:szCs w:val="20"/>
                <w:lang w:val="en-GB"/>
              </w:rPr>
              <w:t>,</w:t>
            </w:r>
            <w:r w:rsidRPr="002B6D09">
              <w:rPr>
                <w:sz w:val="20"/>
                <w:szCs w:val="20"/>
                <w:lang w:val="en-GB"/>
              </w:rPr>
              <w:t>704 €</w:t>
            </w:r>
          </w:p>
          <w:p w14:paraId="37256BCB" w14:textId="4F1E6DE9" w:rsidR="00240929" w:rsidRPr="002B6D09" w:rsidRDefault="00240929" w:rsidP="002B6D09">
            <w:pPr>
              <w:pStyle w:val="Listenabsatz"/>
              <w:numPr>
                <w:ilvl w:val="0"/>
                <w:numId w:val="1"/>
              </w:numPr>
              <w:ind w:left="354" w:hanging="277"/>
              <w:rPr>
                <w:sz w:val="20"/>
                <w:szCs w:val="20"/>
                <w:lang w:val="en-GB"/>
              </w:rPr>
            </w:pPr>
            <w:r w:rsidRPr="002B6D09">
              <w:rPr>
                <w:sz w:val="20"/>
                <w:szCs w:val="20"/>
                <w:lang w:val="en-GB"/>
              </w:rPr>
              <w:t>Remote control systems: 15-20 years; 83</w:t>
            </w:r>
            <w:r w:rsidR="00851983">
              <w:rPr>
                <w:sz w:val="20"/>
                <w:szCs w:val="20"/>
                <w:lang w:val="en-GB"/>
              </w:rPr>
              <w:t>,</w:t>
            </w:r>
            <w:r w:rsidRPr="002B6D09">
              <w:rPr>
                <w:sz w:val="20"/>
                <w:szCs w:val="20"/>
                <w:lang w:val="en-GB"/>
              </w:rPr>
              <w:t>483 €</w:t>
            </w:r>
          </w:p>
          <w:p w14:paraId="31A52D34" w14:textId="11C2C9D4" w:rsidR="00240929" w:rsidRDefault="00240929" w:rsidP="00240929">
            <w:pPr>
              <w:rPr>
                <w:sz w:val="20"/>
                <w:szCs w:val="20"/>
                <w:lang w:val="en-GB"/>
              </w:rPr>
            </w:pPr>
            <w:r w:rsidRPr="00240929">
              <w:rPr>
                <w:sz w:val="20"/>
                <w:szCs w:val="20"/>
                <w:lang w:val="en-GB"/>
              </w:rPr>
              <w:t>Sum: 17</w:t>
            </w:r>
            <w:r w:rsidR="00851983">
              <w:rPr>
                <w:sz w:val="20"/>
                <w:szCs w:val="20"/>
                <w:lang w:val="en-GB"/>
              </w:rPr>
              <w:t>,</w:t>
            </w:r>
            <w:r w:rsidRPr="00240929">
              <w:rPr>
                <w:sz w:val="20"/>
                <w:szCs w:val="20"/>
                <w:lang w:val="en-GB"/>
              </w:rPr>
              <w:t>647</w:t>
            </w:r>
            <w:r w:rsidR="00851983">
              <w:rPr>
                <w:sz w:val="20"/>
                <w:szCs w:val="20"/>
                <w:lang w:val="en-GB"/>
              </w:rPr>
              <w:t>,</w:t>
            </w:r>
            <w:r w:rsidRPr="00240929">
              <w:rPr>
                <w:sz w:val="20"/>
                <w:szCs w:val="20"/>
                <w:lang w:val="en-GB"/>
              </w:rPr>
              <w:t>137 €</w:t>
            </w:r>
          </w:p>
          <w:p w14:paraId="33F2AF1E" w14:textId="77777777" w:rsidR="00240929" w:rsidRPr="00240929" w:rsidRDefault="00240929" w:rsidP="00240929">
            <w:pPr>
              <w:rPr>
                <w:sz w:val="20"/>
                <w:szCs w:val="20"/>
                <w:lang w:val="en-GB"/>
              </w:rPr>
            </w:pPr>
          </w:p>
          <w:p w14:paraId="28C3F14B" w14:textId="77777777" w:rsidR="00240929" w:rsidRPr="00240929" w:rsidRDefault="00240929" w:rsidP="00240929">
            <w:pPr>
              <w:rPr>
                <w:sz w:val="20"/>
                <w:szCs w:val="20"/>
                <w:lang w:val="en-GB"/>
              </w:rPr>
            </w:pPr>
            <w:r w:rsidRPr="00240929">
              <w:rPr>
                <w:sz w:val="20"/>
                <w:szCs w:val="20"/>
                <w:lang w:val="en-GB"/>
              </w:rPr>
              <w:t>Depreciation included in the cost base for the fourth regulatory period (base year 2020).</w:t>
            </w:r>
          </w:p>
          <w:p w14:paraId="1C7A067F" w14:textId="77777777" w:rsidR="002B6D09" w:rsidRDefault="00240929" w:rsidP="00240929">
            <w:pPr>
              <w:rPr>
                <w:sz w:val="20"/>
                <w:szCs w:val="20"/>
                <w:lang w:val="en-GB"/>
              </w:rPr>
            </w:pPr>
            <w:r w:rsidRPr="00240929">
              <w:rPr>
                <w:sz w:val="20"/>
                <w:szCs w:val="20"/>
                <w:lang w:val="en-GB"/>
              </w:rPr>
              <w:t>Incl. share of pipeline companies and leased pipelines.</w:t>
            </w:r>
          </w:p>
          <w:p w14:paraId="4AC2CA34" w14:textId="3F1C125B" w:rsidR="00851983" w:rsidRPr="00851983" w:rsidRDefault="00851983" w:rsidP="00240929">
            <w:pPr>
              <w:rPr>
                <w:sz w:val="20"/>
                <w:szCs w:val="20"/>
                <w:lang w:val="en-US"/>
              </w:rPr>
            </w:pPr>
            <w:r>
              <w:rPr>
                <w:sz w:val="20"/>
                <w:szCs w:val="20"/>
                <w:lang w:val="en-GB"/>
              </w:rPr>
              <w:lastRenderedPageBreak/>
              <w:t>O</w:t>
            </w:r>
            <w:r w:rsidRPr="00851983">
              <w:rPr>
                <w:sz w:val="20"/>
                <w:szCs w:val="20"/>
                <w:lang w:val="en-US"/>
              </w:rPr>
              <w:t>perational expenditures</w:t>
            </w:r>
            <w:r>
              <w:rPr>
                <w:sz w:val="20"/>
                <w:szCs w:val="20"/>
                <w:lang w:val="en-US"/>
              </w:rPr>
              <w:t>:</w:t>
            </w:r>
            <w:r w:rsidRPr="00851983">
              <w:rPr>
                <w:sz w:val="20"/>
                <w:szCs w:val="20"/>
                <w:lang w:val="en-US"/>
              </w:rPr>
              <w:t xml:space="preserve"> 48</w:t>
            </w:r>
            <w:r>
              <w:rPr>
                <w:sz w:val="20"/>
                <w:szCs w:val="20"/>
                <w:lang w:val="en-US"/>
              </w:rPr>
              <w:t>,</w:t>
            </w:r>
            <w:r w:rsidRPr="00851983">
              <w:rPr>
                <w:sz w:val="20"/>
                <w:szCs w:val="20"/>
                <w:lang w:val="en-US"/>
              </w:rPr>
              <w:t>311</w:t>
            </w:r>
            <w:r>
              <w:rPr>
                <w:sz w:val="20"/>
                <w:szCs w:val="20"/>
                <w:lang w:val="en-US"/>
              </w:rPr>
              <w:t>,</w:t>
            </w:r>
            <w:r w:rsidRPr="00851983">
              <w:rPr>
                <w:sz w:val="20"/>
                <w:szCs w:val="20"/>
                <w:lang w:val="en-US"/>
              </w:rPr>
              <w:t>308 € in Trading Hub Europe market area of cost base 2020</w:t>
            </w:r>
          </w:p>
          <w:p w14:paraId="4C19D472" w14:textId="77777777" w:rsidR="00BA2830" w:rsidRDefault="00D36720" w:rsidP="00240929">
            <w:pPr>
              <w:rPr>
                <w:sz w:val="20"/>
                <w:szCs w:val="20"/>
                <w:lang w:val="en-GB"/>
              </w:rPr>
            </w:pPr>
            <w:r w:rsidRPr="00B54B24">
              <w:rPr>
                <w:sz w:val="20"/>
                <w:szCs w:val="20"/>
                <w:lang w:val="en-GB"/>
              </w:rPr>
              <w:br/>
              <w:t xml:space="preserve">German transmission system operators are subject to the incentive regulation system. The revenue cap of a transmission system operator (TSO) that is determined for a regulatory period with a duration of 5 years is based on the costs incurred at the TSO in the base year (year 3 before the new regulatory period) and that were checked by the regulatory authority. Moreover, an efficiency benchmark is conducted between the TSO and based on their cost and structure parameters, individual company efficiency values are calculated. Possible inefficiencies are to be rectified over the duration of a regulatory period. </w:t>
            </w:r>
          </w:p>
          <w:p w14:paraId="5BEA3F1E" w14:textId="77777777" w:rsidR="00BA2830" w:rsidRDefault="00BA2830" w:rsidP="00240929">
            <w:pPr>
              <w:rPr>
                <w:sz w:val="20"/>
                <w:szCs w:val="20"/>
                <w:lang w:val="en-GB"/>
              </w:rPr>
            </w:pPr>
          </w:p>
          <w:p w14:paraId="44857C01" w14:textId="58BCBEA2" w:rsidR="00D36720" w:rsidRDefault="00D36720" w:rsidP="00240929">
            <w:pPr>
              <w:rPr>
                <w:sz w:val="20"/>
                <w:szCs w:val="20"/>
                <w:lang w:val="en-GB"/>
              </w:rPr>
            </w:pPr>
            <w:r w:rsidRPr="00B54B24">
              <w:rPr>
                <w:sz w:val="20"/>
                <w:szCs w:val="20"/>
                <w:lang w:val="en-GB"/>
              </w:rPr>
              <w:t>Furthermore, the regulatory authority calculates a general sector productivity factor that is consistently applied to all transmission system operators.</w:t>
            </w:r>
          </w:p>
          <w:p w14:paraId="21E4D6AE" w14:textId="73D89E7E" w:rsidR="00015832" w:rsidRDefault="00125BFC" w:rsidP="00015832">
            <w:pPr>
              <w:rPr>
                <w:sz w:val="20"/>
                <w:szCs w:val="20"/>
                <w:lang w:val="en-GB"/>
              </w:rPr>
            </w:pPr>
            <w:r w:rsidRPr="00125BFC">
              <w:rPr>
                <w:sz w:val="20"/>
                <w:szCs w:val="20"/>
                <w:lang w:val="en-GB"/>
              </w:rPr>
              <w:t xml:space="preserve">The general sector productivity factor for the third regulatory period is 0.49%. Since the BNetzA has not yet determined a final value for the fourth regulatory period, the general sector productivity factor from the third regulatory period was used initially.  </w:t>
            </w:r>
          </w:p>
          <w:p w14:paraId="78AA7F4A" w14:textId="77777777" w:rsidR="00125BFC" w:rsidRPr="00015832" w:rsidRDefault="00125BFC" w:rsidP="00015832">
            <w:pPr>
              <w:rPr>
                <w:sz w:val="20"/>
                <w:szCs w:val="20"/>
                <w:lang w:val="en-GB"/>
              </w:rPr>
            </w:pPr>
          </w:p>
          <w:p w14:paraId="497B21FB" w14:textId="77777777" w:rsidR="00015832" w:rsidRPr="00015832" w:rsidRDefault="00015832" w:rsidP="00015832">
            <w:pPr>
              <w:rPr>
                <w:sz w:val="20"/>
                <w:szCs w:val="20"/>
                <w:lang w:val="en-GB"/>
              </w:rPr>
            </w:pPr>
            <w:r w:rsidRPr="00015832">
              <w:rPr>
                <w:sz w:val="20"/>
                <w:szCs w:val="20"/>
                <w:lang w:val="en-GB"/>
              </w:rPr>
              <w:t>The individual efficiency score of GRTgaz Deutschland is</w:t>
            </w:r>
          </w:p>
          <w:p w14:paraId="012AB594" w14:textId="489426D9" w:rsidR="00851983" w:rsidRDefault="00015832" w:rsidP="00015832">
            <w:pPr>
              <w:rPr>
                <w:sz w:val="20"/>
                <w:szCs w:val="20"/>
                <w:lang w:val="en-GB"/>
              </w:rPr>
            </w:pPr>
            <w:r w:rsidRPr="00015832">
              <w:rPr>
                <w:sz w:val="20"/>
                <w:szCs w:val="20"/>
                <w:lang w:val="en-GB"/>
              </w:rPr>
              <w:t>100% for the period 20</w:t>
            </w:r>
            <w:r>
              <w:rPr>
                <w:sz w:val="20"/>
                <w:szCs w:val="20"/>
                <w:lang w:val="en-GB"/>
              </w:rPr>
              <w:t>23-</w:t>
            </w:r>
            <w:r w:rsidRPr="00015832">
              <w:rPr>
                <w:sz w:val="20"/>
                <w:szCs w:val="20"/>
                <w:lang w:val="en-GB"/>
              </w:rPr>
              <w:t>202</w:t>
            </w:r>
            <w:r>
              <w:rPr>
                <w:sz w:val="20"/>
                <w:szCs w:val="20"/>
                <w:lang w:val="en-GB"/>
              </w:rPr>
              <w:t>7</w:t>
            </w:r>
            <w:r w:rsidRPr="00015832">
              <w:rPr>
                <w:sz w:val="20"/>
                <w:szCs w:val="20"/>
                <w:lang w:val="en-GB"/>
              </w:rPr>
              <w:t>.</w:t>
            </w:r>
          </w:p>
          <w:p w14:paraId="745362DE" w14:textId="77777777" w:rsidR="00015832" w:rsidRDefault="00015832" w:rsidP="00851983">
            <w:pPr>
              <w:rPr>
                <w:sz w:val="20"/>
                <w:szCs w:val="20"/>
                <w:lang w:val="en-GB"/>
              </w:rPr>
            </w:pPr>
          </w:p>
          <w:p w14:paraId="4ADDD8A2" w14:textId="3264D647" w:rsidR="00D36720" w:rsidRPr="00B54B24" w:rsidRDefault="00D36720" w:rsidP="00851983">
            <w:pPr>
              <w:rPr>
                <w:sz w:val="20"/>
                <w:szCs w:val="20"/>
                <w:lang w:val="en-GB"/>
              </w:rPr>
            </w:pPr>
            <w:r w:rsidRPr="00B54B24">
              <w:rPr>
                <w:sz w:val="20"/>
                <w:szCs w:val="20"/>
                <w:lang w:val="en-GB"/>
              </w:rPr>
              <w:t>The inflation index used to determine the allowed revenues 202</w:t>
            </w:r>
            <w:r w:rsidR="00015832">
              <w:rPr>
                <w:sz w:val="20"/>
                <w:szCs w:val="20"/>
                <w:lang w:val="en-GB"/>
              </w:rPr>
              <w:t>4</w:t>
            </w:r>
            <w:r w:rsidRPr="00B54B24">
              <w:rPr>
                <w:sz w:val="20"/>
                <w:szCs w:val="20"/>
                <w:lang w:val="en-GB"/>
              </w:rPr>
              <w:t xml:space="preserve">: </w:t>
            </w:r>
            <w:r w:rsidR="00851983" w:rsidRPr="00851983">
              <w:rPr>
                <w:sz w:val="20"/>
                <w:szCs w:val="20"/>
                <w:lang w:val="en-GB"/>
              </w:rPr>
              <w:t>1</w:t>
            </w:r>
            <w:r w:rsidR="00015832">
              <w:rPr>
                <w:sz w:val="20"/>
                <w:szCs w:val="20"/>
                <w:lang w:val="en-GB"/>
              </w:rPr>
              <w:t>16</w:t>
            </w:r>
            <w:r w:rsidR="007277FF">
              <w:rPr>
                <w:sz w:val="20"/>
                <w:szCs w:val="20"/>
                <w:lang w:val="en-GB"/>
              </w:rPr>
              <w:t>.6</w:t>
            </w:r>
            <w:r w:rsidR="00851983" w:rsidRPr="00851983">
              <w:rPr>
                <w:sz w:val="20"/>
                <w:szCs w:val="20"/>
                <w:lang w:val="en-GB"/>
              </w:rPr>
              <w:t xml:space="preserve"> (+</w:t>
            </w:r>
            <w:r w:rsidR="007277FF">
              <w:rPr>
                <w:sz w:val="20"/>
                <w:szCs w:val="20"/>
                <w:lang w:val="en-GB"/>
              </w:rPr>
              <w:t>7.</w:t>
            </w:r>
            <w:r w:rsidR="00BA2830">
              <w:rPr>
                <w:sz w:val="20"/>
                <w:szCs w:val="20"/>
                <w:lang w:val="en-GB"/>
              </w:rPr>
              <w:t>1</w:t>
            </w:r>
            <w:r w:rsidR="00851983" w:rsidRPr="00851983">
              <w:rPr>
                <w:sz w:val="20"/>
                <w:szCs w:val="20"/>
                <w:lang w:val="en-GB"/>
              </w:rPr>
              <w:t xml:space="preserve"> vs. prior year)</w:t>
            </w:r>
            <w:r w:rsidR="00851983">
              <w:rPr>
                <w:sz w:val="20"/>
                <w:szCs w:val="20"/>
                <w:lang w:val="en-GB"/>
              </w:rPr>
              <w:t xml:space="preserve"> </w:t>
            </w:r>
            <w:r w:rsidR="00851983" w:rsidRPr="00851983">
              <w:rPr>
                <w:sz w:val="20"/>
                <w:szCs w:val="20"/>
                <w:lang w:val="en-GB"/>
              </w:rPr>
              <w:t>(CPI of 202</w:t>
            </w:r>
            <w:r w:rsidR="00015832">
              <w:rPr>
                <w:sz w:val="20"/>
                <w:szCs w:val="20"/>
                <w:lang w:val="en-GB"/>
              </w:rPr>
              <w:t>2</w:t>
            </w:r>
            <w:r w:rsidR="00851983" w:rsidRPr="00851983">
              <w:rPr>
                <w:sz w:val="20"/>
                <w:szCs w:val="20"/>
                <w:lang w:val="en-GB"/>
              </w:rPr>
              <w:t>, § 8 ARegV)</w:t>
            </w:r>
          </w:p>
          <w:p w14:paraId="3BCCA74D" w14:textId="77777777" w:rsidR="00D36720" w:rsidRPr="00867109" w:rsidRDefault="00D36720" w:rsidP="000E7C4C">
            <w:pPr>
              <w:rPr>
                <w:sz w:val="20"/>
                <w:szCs w:val="20"/>
                <w:lang w:val="en-GB"/>
              </w:rPr>
            </w:pPr>
          </w:p>
        </w:tc>
      </w:tr>
      <w:tr w:rsidR="00D36720" w:rsidRPr="000F6EE8" w14:paraId="4C55CD12" w14:textId="77777777" w:rsidTr="00387056">
        <w:tblPrEx>
          <w:tblCellMar>
            <w:left w:w="70" w:type="dxa"/>
            <w:right w:w="70" w:type="dxa"/>
          </w:tblCellMar>
        </w:tblPrEx>
        <w:tc>
          <w:tcPr>
            <w:tcW w:w="1161" w:type="dxa"/>
          </w:tcPr>
          <w:p w14:paraId="36E4C587" w14:textId="77777777" w:rsidR="00D36720" w:rsidRPr="003F0E2F" w:rsidRDefault="00D36720" w:rsidP="000E7C4C">
            <w:pPr>
              <w:rPr>
                <w:b/>
                <w:bCs/>
                <w:color w:val="00A984"/>
                <w:sz w:val="20"/>
                <w:szCs w:val="20"/>
              </w:rPr>
            </w:pPr>
            <w:r w:rsidRPr="00555D8A">
              <w:rPr>
                <w:b/>
                <w:bCs/>
                <w:color w:val="00A984"/>
                <w:sz w:val="20"/>
                <w:szCs w:val="20"/>
              </w:rPr>
              <w:lastRenderedPageBreak/>
              <w:t>Art. 30 (1)(b)(iv,v)</w:t>
            </w:r>
          </w:p>
          <w:p w14:paraId="017A969A" w14:textId="77777777" w:rsidR="00D36720" w:rsidRPr="003F0E2F" w:rsidRDefault="00D36720" w:rsidP="000E7C4C">
            <w:pPr>
              <w:rPr>
                <w:b/>
                <w:bCs/>
                <w:color w:val="00A984"/>
                <w:sz w:val="20"/>
                <w:szCs w:val="20"/>
              </w:rPr>
            </w:pPr>
          </w:p>
        </w:tc>
        <w:tc>
          <w:tcPr>
            <w:tcW w:w="2242" w:type="dxa"/>
          </w:tcPr>
          <w:p w14:paraId="56F03B28" w14:textId="77777777" w:rsidR="00D36720" w:rsidRPr="0053622B" w:rsidRDefault="00D36720" w:rsidP="000E7C4C">
            <w:pPr>
              <w:rPr>
                <w:sz w:val="20"/>
                <w:szCs w:val="20"/>
              </w:rPr>
            </w:pPr>
            <w:r w:rsidRPr="0053622B">
              <w:rPr>
                <w:sz w:val="20"/>
                <w:szCs w:val="20"/>
              </w:rPr>
              <w:t>Informationen zu den zulässigen Erlösen aus Fernleitungsentgelten inklusive Kennzahlen zu Kapazitäts-/Arbeitsaufteilung, Entry-Exit-Split und Aufteilung nach systeminterner/systemübergreifender Nutzung</w:t>
            </w:r>
          </w:p>
        </w:tc>
        <w:tc>
          <w:tcPr>
            <w:tcW w:w="4394" w:type="dxa"/>
          </w:tcPr>
          <w:p w14:paraId="591A43A0" w14:textId="1D1A9F61" w:rsidR="00D36720" w:rsidRPr="00A76E14" w:rsidRDefault="00D36720" w:rsidP="000E7C4C">
            <w:pPr>
              <w:rPr>
                <w:sz w:val="20"/>
                <w:szCs w:val="20"/>
              </w:rPr>
            </w:pPr>
            <w:r w:rsidRPr="00A76E14">
              <w:rPr>
                <w:sz w:val="20"/>
                <w:szCs w:val="20"/>
              </w:rPr>
              <w:t>Zulässige</w:t>
            </w:r>
            <w:r w:rsidR="00275C7A" w:rsidRPr="00A76E14">
              <w:rPr>
                <w:sz w:val="20"/>
                <w:szCs w:val="20"/>
              </w:rPr>
              <w:t>, prognostizierte</w:t>
            </w:r>
            <w:r w:rsidRPr="00A76E14">
              <w:rPr>
                <w:sz w:val="20"/>
                <w:szCs w:val="20"/>
              </w:rPr>
              <w:t xml:space="preserve"> Erlöse aus Fernleitungsentgelten 202</w:t>
            </w:r>
            <w:r w:rsidR="00795D87" w:rsidRPr="00A76E14">
              <w:rPr>
                <w:sz w:val="20"/>
                <w:szCs w:val="20"/>
              </w:rPr>
              <w:t>4</w:t>
            </w:r>
            <w:r w:rsidRPr="00A76E14">
              <w:rPr>
                <w:sz w:val="20"/>
                <w:szCs w:val="20"/>
              </w:rPr>
              <w:t xml:space="preserve"> betragen: </w:t>
            </w:r>
            <w:r w:rsidR="00275C7A" w:rsidRPr="00A76E14">
              <w:rPr>
                <w:sz w:val="20"/>
                <w:szCs w:val="20"/>
              </w:rPr>
              <w:t>1</w:t>
            </w:r>
            <w:r w:rsidR="00795D87" w:rsidRPr="00A76E14">
              <w:rPr>
                <w:sz w:val="20"/>
                <w:szCs w:val="20"/>
              </w:rPr>
              <w:t>13.266.279</w:t>
            </w:r>
            <w:r w:rsidR="00275C7A" w:rsidRPr="00A76E14">
              <w:rPr>
                <w:sz w:val="20"/>
                <w:szCs w:val="20"/>
              </w:rPr>
              <w:t xml:space="preserve"> </w:t>
            </w:r>
            <w:r w:rsidR="0040010A" w:rsidRPr="00A76E14">
              <w:rPr>
                <w:sz w:val="20"/>
                <w:szCs w:val="20"/>
              </w:rPr>
              <w:t>EUR</w:t>
            </w:r>
          </w:p>
          <w:p w14:paraId="08BC294C" w14:textId="77777777" w:rsidR="006F745F" w:rsidRPr="00A76E14" w:rsidRDefault="006F745F" w:rsidP="000E7C4C">
            <w:pPr>
              <w:rPr>
                <w:sz w:val="20"/>
                <w:szCs w:val="20"/>
              </w:rPr>
            </w:pPr>
          </w:p>
          <w:p w14:paraId="25ED7797" w14:textId="1CCEED30" w:rsidR="00D36720" w:rsidRPr="00A76E14" w:rsidRDefault="006F745F" w:rsidP="000E7C4C">
            <w:pPr>
              <w:rPr>
                <w:sz w:val="20"/>
                <w:szCs w:val="20"/>
              </w:rPr>
            </w:pPr>
            <w:r w:rsidRPr="00A76E14">
              <w:rPr>
                <w:sz w:val="20"/>
                <w:szCs w:val="20"/>
              </w:rPr>
              <w:t>GRTgaz Deutschland bietet ausschließlich Leistungsentgelte an. Insoweit beträgt der Anteil der Leistungsentgelte 100%.</w:t>
            </w:r>
          </w:p>
          <w:p w14:paraId="4D33C8BB" w14:textId="77777777" w:rsidR="006F745F" w:rsidRPr="00A76E14" w:rsidRDefault="006F745F" w:rsidP="000E7C4C">
            <w:pPr>
              <w:rPr>
                <w:sz w:val="20"/>
                <w:szCs w:val="20"/>
              </w:rPr>
            </w:pPr>
          </w:p>
          <w:p w14:paraId="2211AAD5" w14:textId="2052ABD0" w:rsidR="00D36720" w:rsidRPr="00A76E14" w:rsidRDefault="00D36720" w:rsidP="000E7C4C">
            <w:pPr>
              <w:rPr>
                <w:sz w:val="20"/>
                <w:szCs w:val="20"/>
              </w:rPr>
            </w:pPr>
            <w:r w:rsidRPr="00A76E14">
              <w:rPr>
                <w:sz w:val="20"/>
                <w:szCs w:val="20"/>
              </w:rPr>
              <w:t>Kapazitäts-/ Arbeitsaufteilung</w:t>
            </w:r>
            <w:r w:rsidR="006F745F" w:rsidRPr="00A76E14">
              <w:rPr>
                <w:sz w:val="20"/>
                <w:szCs w:val="20"/>
              </w:rPr>
              <w:t xml:space="preserve"> im Marktgebiet THE</w:t>
            </w:r>
            <w:r w:rsidRPr="00A76E14">
              <w:rPr>
                <w:sz w:val="20"/>
                <w:szCs w:val="20"/>
              </w:rPr>
              <w:t xml:space="preserve">: </w:t>
            </w:r>
          </w:p>
          <w:p w14:paraId="1AD37217" w14:textId="77777777" w:rsidR="00D36720" w:rsidRPr="00A76E14" w:rsidRDefault="00D36720" w:rsidP="000E7C4C">
            <w:pPr>
              <w:rPr>
                <w:sz w:val="20"/>
                <w:szCs w:val="20"/>
              </w:rPr>
            </w:pPr>
          </w:p>
          <w:p w14:paraId="1A2D8DF7" w14:textId="5B9A2855" w:rsidR="006F745F" w:rsidRPr="00A76E14" w:rsidRDefault="006F745F" w:rsidP="006F745F">
            <w:pPr>
              <w:rPr>
                <w:sz w:val="20"/>
                <w:szCs w:val="20"/>
              </w:rPr>
            </w:pPr>
            <w:r w:rsidRPr="00A76E14">
              <w:rPr>
                <w:sz w:val="20"/>
                <w:szCs w:val="20"/>
              </w:rPr>
              <w:t>3</w:t>
            </w:r>
            <w:r w:rsidR="00E779B6">
              <w:rPr>
                <w:sz w:val="20"/>
                <w:szCs w:val="20"/>
              </w:rPr>
              <w:t>0,5</w:t>
            </w:r>
            <w:r w:rsidRPr="00A76E14">
              <w:rPr>
                <w:sz w:val="20"/>
                <w:szCs w:val="20"/>
              </w:rPr>
              <w:t xml:space="preserve"> % Einspeisung</w:t>
            </w:r>
            <w:r w:rsidRPr="00A76E14">
              <w:rPr>
                <w:sz w:val="20"/>
                <w:szCs w:val="20"/>
              </w:rPr>
              <w:tab/>
            </w:r>
          </w:p>
          <w:p w14:paraId="11F56AAE" w14:textId="3B7C8E48" w:rsidR="00D36720" w:rsidRPr="00A76E14" w:rsidRDefault="00E779B6" w:rsidP="006F745F">
            <w:pPr>
              <w:rPr>
                <w:sz w:val="20"/>
                <w:szCs w:val="20"/>
              </w:rPr>
            </w:pPr>
            <w:r>
              <w:rPr>
                <w:sz w:val="20"/>
                <w:szCs w:val="20"/>
              </w:rPr>
              <w:t xml:space="preserve">69,5 </w:t>
            </w:r>
            <w:r w:rsidR="006F745F" w:rsidRPr="00A76E14">
              <w:rPr>
                <w:sz w:val="20"/>
                <w:szCs w:val="20"/>
              </w:rPr>
              <w:t>% Ausspeisung</w:t>
            </w:r>
          </w:p>
          <w:p w14:paraId="63B75EBD" w14:textId="77777777" w:rsidR="006F745F" w:rsidRPr="00A76E14" w:rsidRDefault="006F745F" w:rsidP="006F745F">
            <w:pPr>
              <w:rPr>
                <w:sz w:val="20"/>
                <w:szCs w:val="20"/>
              </w:rPr>
            </w:pPr>
          </w:p>
          <w:p w14:paraId="0F0A4684" w14:textId="77777777" w:rsidR="00D36720" w:rsidRPr="00A76E14" w:rsidRDefault="00D36720" w:rsidP="000E7C4C">
            <w:pPr>
              <w:rPr>
                <w:sz w:val="20"/>
                <w:szCs w:val="20"/>
              </w:rPr>
            </w:pPr>
            <w:r w:rsidRPr="00A76E14">
              <w:rPr>
                <w:sz w:val="20"/>
                <w:szCs w:val="20"/>
              </w:rPr>
              <w:t>Aufteilung nach systeminterner/ systemübergreifender Nutzung im Marktgebiet THE:</w:t>
            </w:r>
          </w:p>
          <w:p w14:paraId="183FFD5D" w14:textId="77777777" w:rsidR="00D36720" w:rsidRPr="00A76E14" w:rsidRDefault="00D36720" w:rsidP="000E7C4C">
            <w:pPr>
              <w:rPr>
                <w:sz w:val="20"/>
                <w:szCs w:val="20"/>
              </w:rPr>
            </w:pPr>
          </w:p>
          <w:p w14:paraId="7DFA8A04" w14:textId="61BB9D9A" w:rsidR="006F745F" w:rsidRPr="00A76E14" w:rsidRDefault="00C61DA2" w:rsidP="006F745F">
            <w:pPr>
              <w:rPr>
                <w:sz w:val="20"/>
                <w:szCs w:val="20"/>
              </w:rPr>
            </w:pPr>
            <w:r w:rsidRPr="000F6EE8">
              <w:rPr>
                <w:sz w:val="20"/>
                <w:szCs w:val="20"/>
              </w:rPr>
              <w:t xml:space="preserve">90,74 </w:t>
            </w:r>
            <w:r w:rsidR="006F745F" w:rsidRPr="00A76E14">
              <w:rPr>
                <w:sz w:val="20"/>
                <w:szCs w:val="20"/>
              </w:rPr>
              <w:t xml:space="preserve">% Systeminterne Nutzung </w:t>
            </w:r>
            <w:r w:rsidR="00C04BD8" w:rsidRPr="00A76E14">
              <w:rPr>
                <w:sz w:val="20"/>
                <w:szCs w:val="20"/>
              </w:rPr>
              <w:t>(</w:t>
            </w:r>
            <w:r w:rsidRPr="000F6EE8">
              <w:rPr>
                <w:sz w:val="20"/>
                <w:szCs w:val="20"/>
              </w:rPr>
              <w:t xml:space="preserve">2,885,900,580 </w:t>
            </w:r>
            <w:r w:rsidR="00DD33A4" w:rsidRPr="00A76E14">
              <w:rPr>
                <w:sz w:val="20"/>
                <w:szCs w:val="20"/>
              </w:rPr>
              <w:t>€</w:t>
            </w:r>
            <w:r w:rsidR="00C04BD8" w:rsidRPr="00A76E14">
              <w:rPr>
                <w:sz w:val="20"/>
                <w:szCs w:val="20"/>
              </w:rPr>
              <w:t>)</w:t>
            </w:r>
          </w:p>
          <w:p w14:paraId="73951128" w14:textId="7B19F053" w:rsidR="00D36720" w:rsidRPr="00A76E14" w:rsidRDefault="00C61DA2" w:rsidP="006F745F">
            <w:pPr>
              <w:rPr>
                <w:sz w:val="20"/>
                <w:szCs w:val="20"/>
              </w:rPr>
            </w:pPr>
            <w:r w:rsidRPr="000F6EE8">
              <w:rPr>
                <w:sz w:val="20"/>
                <w:szCs w:val="20"/>
              </w:rPr>
              <w:t xml:space="preserve">9,26 </w:t>
            </w:r>
            <w:r w:rsidR="006F745F" w:rsidRPr="00A76E14">
              <w:rPr>
                <w:sz w:val="20"/>
                <w:szCs w:val="20"/>
              </w:rPr>
              <w:t xml:space="preserve">% Systemübergreifende Nutzung </w:t>
            </w:r>
            <w:r w:rsidR="00C04BD8" w:rsidRPr="00A76E14">
              <w:rPr>
                <w:sz w:val="20"/>
                <w:szCs w:val="20"/>
              </w:rPr>
              <w:t>(</w:t>
            </w:r>
            <w:r w:rsidRPr="000F6EE8">
              <w:rPr>
                <w:sz w:val="20"/>
                <w:szCs w:val="20"/>
              </w:rPr>
              <w:t xml:space="preserve">294,584,854 </w:t>
            </w:r>
            <w:r w:rsidR="00A106FB" w:rsidRPr="00A76E14">
              <w:rPr>
                <w:sz w:val="20"/>
                <w:szCs w:val="20"/>
              </w:rPr>
              <w:t>€</w:t>
            </w:r>
            <w:r w:rsidR="00C04BD8" w:rsidRPr="00A76E14">
              <w:rPr>
                <w:sz w:val="20"/>
                <w:szCs w:val="20"/>
              </w:rPr>
              <w:t>)</w:t>
            </w:r>
          </w:p>
          <w:p w14:paraId="10DAE873" w14:textId="77777777" w:rsidR="006F745F" w:rsidRPr="00A76E14" w:rsidRDefault="006F745F" w:rsidP="006F745F">
            <w:pPr>
              <w:rPr>
                <w:sz w:val="20"/>
                <w:szCs w:val="20"/>
              </w:rPr>
            </w:pPr>
          </w:p>
          <w:p w14:paraId="38C010AF" w14:textId="28ABCAD0" w:rsidR="00D36720" w:rsidRPr="00A76E14" w:rsidRDefault="005962A0" w:rsidP="000E7C4C">
            <w:pPr>
              <w:rPr>
                <w:sz w:val="20"/>
                <w:szCs w:val="20"/>
              </w:rPr>
            </w:pPr>
            <w:r w:rsidRPr="00A76E14">
              <w:rPr>
                <w:sz w:val="20"/>
                <w:szCs w:val="20"/>
              </w:rPr>
              <w:t>Im Zusammenhang mit der Konsultation nach Art. 26 NC TAR wurde der Kostenzuweisungstest von der Bundesnetzagentur (BNetzA) durchgeführt. Die Ergebnisse einschließlich einer Bewertung wurden im Wege der Festlegungsverfahren REGENT für das Marktgebiet Trading Hub Europe (</w:t>
            </w:r>
            <w:hyperlink r:id="rId23" w:tgtFrame="_blank" w:history="1">
              <w:r w:rsidRPr="00A76E14">
                <w:rPr>
                  <w:sz w:val="20"/>
                  <w:szCs w:val="20"/>
                </w:rPr>
                <w:t>BK9-19/610</w:t>
              </w:r>
            </w:hyperlink>
            <w:r w:rsidRPr="00A76E14">
              <w:rPr>
                <w:sz w:val="20"/>
                <w:szCs w:val="20"/>
              </w:rPr>
              <w:t>) auf den Internetseiten der BNetzA veröffentlicht. </w:t>
            </w:r>
          </w:p>
        </w:tc>
        <w:tc>
          <w:tcPr>
            <w:tcW w:w="1984" w:type="dxa"/>
          </w:tcPr>
          <w:p w14:paraId="3B4CEBCE" w14:textId="77777777" w:rsidR="00D36720" w:rsidRPr="0091622A" w:rsidRDefault="00D36720" w:rsidP="000E7C4C">
            <w:pPr>
              <w:rPr>
                <w:sz w:val="20"/>
                <w:szCs w:val="20"/>
                <w:lang w:val="en-GB"/>
              </w:rPr>
            </w:pPr>
            <w:r w:rsidRPr="0091622A">
              <w:rPr>
                <w:sz w:val="20"/>
                <w:szCs w:val="20"/>
                <w:lang w:val="en-GB"/>
              </w:rPr>
              <w:t>Information on the transmission services revenue including capacity-commodity split, entry-exit split and intra-system/cross-system split.</w:t>
            </w:r>
          </w:p>
        </w:tc>
        <w:tc>
          <w:tcPr>
            <w:tcW w:w="5103" w:type="dxa"/>
          </w:tcPr>
          <w:p w14:paraId="10FF1CB3" w14:textId="0D8BE7FE" w:rsidR="00D36720" w:rsidRPr="00275C7A" w:rsidRDefault="00D36720" w:rsidP="000E7C4C">
            <w:pPr>
              <w:rPr>
                <w:sz w:val="20"/>
                <w:szCs w:val="20"/>
                <w:lang w:val="en-GB"/>
              </w:rPr>
            </w:pPr>
            <w:r w:rsidRPr="00B54B24">
              <w:rPr>
                <w:sz w:val="20"/>
                <w:szCs w:val="20"/>
                <w:lang w:val="en-GB"/>
              </w:rPr>
              <w:t>202</w:t>
            </w:r>
            <w:r w:rsidR="00555D8A">
              <w:rPr>
                <w:sz w:val="20"/>
                <w:szCs w:val="20"/>
                <w:lang w:val="en-GB"/>
              </w:rPr>
              <w:t>4</w:t>
            </w:r>
            <w:r w:rsidRPr="00B54B24">
              <w:rPr>
                <w:sz w:val="20"/>
                <w:szCs w:val="20"/>
                <w:lang w:val="en-GB"/>
              </w:rPr>
              <w:t xml:space="preserve"> Allowed Revenues for Transmission services: </w:t>
            </w:r>
            <w:r w:rsidR="00275C7A" w:rsidRPr="00275C7A">
              <w:rPr>
                <w:sz w:val="20"/>
                <w:szCs w:val="20"/>
                <w:lang w:val="en-GB"/>
              </w:rPr>
              <w:t>1</w:t>
            </w:r>
            <w:r w:rsidR="00795D87">
              <w:rPr>
                <w:sz w:val="20"/>
                <w:szCs w:val="20"/>
                <w:lang w:val="en-GB"/>
              </w:rPr>
              <w:t>13,266,279</w:t>
            </w:r>
            <w:r w:rsidR="00275C7A" w:rsidRPr="00275C7A">
              <w:rPr>
                <w:sz w:val="20"/>
                <w:szCs w:val="20"/>
                <w:lang w:val="en-GB"/>
              </w:rPr>
              <w:t xml:space="preserve"> EUR</w:t>
            </w:r>
          </w:p>
          <w:p w14:paraId="42EA8E13" w14:textId="77777777" w:rsidR="00502661" w:rsidRDefault="00502661" w:rsidP="000E7C4C">
            <w:pPr>
              <w:rPr>
                <w:sz w:val="20"/>
                <w:szCs w:val="20"/>
                <w:lang w:val="en-GB"/>
              </w:rPr>
            </w:pPr>
          </w:p>
          <w:p w14:paraId="7237D790" w14:textId="214D1E8D" w:rsidR="00D36720" w:rsidRDefault="00502661" w:rsidP="000E7C4C">
            <w:pPr>
              <w:rPr>
                <w:sz w:val="20"/>
                <w:szCs w:val="20"/>
                <w:lang w:val="en-GB"/>
              </w:rPr>
            </w:pPr>
            <w:r>
              <w:rPr>
                <w:sz w:val="20"/>
                <w:szCs w:val="20"/>
                <w:lang w:val="en-GB"/>
              </w:rPr>
              <w:t xml:space="preserve">GRTgaz Deutschland </w:t>
            </w:r>
            <w:r w:rsidRPr="00502661">
              <w:rPr>
                <w:sz w:val="20"/>
                <w:szCs w:val="20"/>
                <w:lang w:val="en-GB"/>
              </w:rPr>
              <w:t>offers capacity-based tariffs only. Consequently, the share of capacity-based tariffs is 100%.</w:t>
            </w:r>
          </w:p>
          <w:p w14:paraId="2699BB4D" w14:textId="77777777" w:rsidR="00502661" w:rsidRPr="00B54B24" w:rsidRDefault="00502661" w:rsidP="000E7C4C">
            <w:pPr>
              <w:rPr>
                <w:sz w:val="20"/>
                <w:szCs w:val="20"/>
                <w:lang w:val="en-GB"/>
              </w:rPr>
            </w:pPr>
          </w:p>
          <w:p w14:paraId="66416F0B" w14:textId="4B125D91" w:rsidR="00D36720" w:rsidRPr="00502661" w:rsidRDefault="00D36720" w:rsidP="000E7C4C">
            <w:pPr>
              <w:rPr>
                <w:sz w:val="20"/>
                <w:szCs w:val="20"/>
                <w:u w:val="single"/>
                <w:lang w:val="en-GB"/>
              </w:rPr>
            </w:pPr>
            <w:r w:rsidRPr="00B54B24">
              <w:rPr>
                <w:sz w:val="20"/>
                <w:szCs w:val="20"/>
                <w:u w:val="single"/>
                <w:lang w:val="en-GB"/>
              </w:rPr>
              <w:t>Capacity-commodity split:</w:t>
            </w:r>
          </w:p>
          <w:p w14:paraId="5D43DC35" w14:textId="75E9366C" w:rsidR="00502661" w:rsidRPr="00502661" w:rsidRDefault="00502661" w:rsidP="00502661">
            <w:pPr>
              <w:rPr>
                <w:sz w:val="20"/>
                <w:szCs w:val="20"/>
                <w:lang w:val="en-GB"/>
              </w:rPr>
            </w:pPr>
            <w:r w:rsidRPr="00502661">
              <w:rPr>
                <w:sz w:val="20"/>
                <w:szCs w:val="20"/>
                <w:lang w:val="en-GB"/>
              </w:rPr>
              <w:t>3</w:t>
            </w:r>
            <w:r w:rsidR="004557EA">
              <w:rPr>
                <w:sz w:val="20"/>
                <w:szCs w:val="20"/>
                <w:lang w:val="en-GB"/>
              </w:rPr>
              <w:t>0,5</w:t>
            </w:r>
            <w:r w:rsidRPr="00502661">
              <w:rPr>
                <w:sz w:val="20"/>
                <w:szCs w:val="20"/>
                <w:lang w:val="en-GB"/>
              </w:rPr>
              <w:t xml:space="preserve"> % Entry</w:t>
            </w:r>
            <w:r w:rsidRPr="00502661">
              <w:rPr>
                <w:sz w:val="20"/>
                <w:szCs w:val="20"/>
                <w:lang w:val="en-GB"/>
              </w:rPr>
              <w:tab/>
            </w:r>
          </w:p>
          <w:p w14:paraId="187FD762" w14:textId="425075BA" w:rsidR="00D36720" w:rsidRDefault="00E779B6" w:rsidP="00502661">
            <w:pPr>
              <w:rPr>
                <w:sz w:val="20"/>
                <w:szCs w:val="20"/>
                <w:lang w:val="en-GB"/>
              </w:rPr>
            </w:pPr>
            <w:r>
              <w:rPr>
                <w:sz w:val="20"/>
                <w:szCs w:val="20"/>
                <w:lang w:val="en-GB"/>
              </w:rPr>
              <w:t>69,5</w:t>
            </w:r>
            <w:r w:rsidR="00502661" w:rsidRPr="00502661">
              <w:rPr>
                <w:sz w:val="20"/>
                <w:szCs w:val="20"/>
                <w:lang w:val="en-GB"/>
              </w:rPr>
              <w:t xml:space="preserve"> % Exit</w:t>
            </w:r>
          </w:p>
          <w:p w14:paraId="25B67B0A" w14:textId="77777777" w:rsidR="00502661" w:rsidRPr="00B54B24" w:rsidRDefault="00502661" w:rsidP="00502661">
            <w:pPr>
              <w:rPr>
                <w:sz w:val="20"/>
                <w:szCs w:val="20"/>
                <w:lang w:val="en-GB"/>
              </w:rPr>
            </w:pPr>
          </w:p>
          <w:p w14:paraId="0DF49E3D" w14:textId="29FE095F" w:rsidR="00D36720" w:rsidRPr="00502661" w:rsidRDefault="00D36720" w:rsidP="000E7C4C">
            <w:pPr>
              <w:rPr>
                <w:sz w:val="20"/>
                <w:szCs w:val="20"/>
                <w:u w:val="single"/>
                <w:lang w:val="en-GB"/>
              </w:rPr>
            </w:pPr>
            <w:r w:rsidRPr="00B54B24">
              <w:rPr>
                <w:sz w:val="20"/>
                <w:szCs w:val="20"/>
                <w:u w:val="single"/>
                <w:lang w:val="en-GB"/>
              </w:rPr>
              <w:t xml:space="preserve">Cross-border-domestic split in entry-exit system </w:t>
            </w:r>
            <w:r w:rsidRPr="00B54B24">
              <w:rPr>
                <w:b/>
                <w:bCs/>
                <w:sz w:val="20"/>
                <w:szCs w:val="20"/>
                <w:u w:val="single"/>
                <w:lang w:val="en-GB"/>
              </w:rPr>
              <w:t>THE</w:t>
            </w:r>
            <w:r w:rsidRPr="00B54B24">
              <w:rPr>
                <w:sz w:val="20"/>
                <w:szCs w:val="20"/>
                <w:u w:val="single"/>
                <w:lang w:val="en-GB"/>
              </w:rPr>
              <w:t>:</w:t>
            </w:r>
          </w:p>
          <w:p w14:paraId="77B5C45D" w14:textId="62CC11BA" w:rsidR="00502661" w:rsidRPr="00125AC8" w:rsidRDefault="00E779B6" w:rsidP="00502661">
            <w:pPr>
              <w:rPr>
                <w:sz w:val="20"/>
                <w:szCs w:val="20"/>
                <w:lang w:val="fr-FR"/>
              </w:rPr>
            </w:pPr>
            <w:r>
              <w:rPr>
                <w:sz w:val="20"/>
                <w:szCs w:val="20"/>
                <w:lang w:val="fr-FR"/>
              </w:rPr>
              <w:t>90,74</w:t>
            </w:r>
            <w:r w:rsidR="00502661" w:rsidRPr="00125AC8">
              <w:rPr>
                <w:sz w:val="20"/>
                <w:szCs w:val="20"/>
                <w:lang w:val="fr-FR"/>
              </w:rPr>
              <w:t xml:space="preserve"> % domestic usage</w:t>
            </w:r>
            <w:r w:rsidR="00C04BD8" w:rsidRPr="00125AC8">
              <w:rPr>
                <w:sz w:val="20"/>
                <w:szCs w:val="20"/>
                <w:lang w:val="fr-FR"/>
              </w:rPr>
              <w:t xml:space="preserve"> (</w:t>
            </w:r>
            <w:r w:rsidR="00C824F7">
              <w:rPr>
                <w:sz w:val="20"/>
                <w:szCs w:val="20"/>
                <w:lang w:val="fr-FR"/>
              </w:rPr>
              <w:t>2</w:t>
            </w:r>
            <w:r w:rsidR="00C824F7" w:rsidRPr="00C824F7">
              <w:rPr>
                <w:sz w:val="20"/>
                <w:szCs w:val="20"/>
                <w:lang w:val="fr-FR"/>
              </w:rPr>
              <w:t>,885,900,580</w:t>
            </w:r>
            <w:r w:rsidR="00D94337" w:rsidRPr="00D94337">
              <w:rPr>
                <w:sz w:val="20"/>
                <w:szCs w:val="20"/>
                <w:lang w:val="fr-FR"/>
              </w:rPr>
              <w:t xml:space="preserve"> </w:t>
            </w:r>
            <w:r w:rsidR="00C04BD8" w:rsidRPr="00125AC8">
              <w:rPr>
                <w:sz w:val="20"/>
                <w:szCs w:val="20"/>
                <w:lang w:val="fr-FR"/>
              </w:rPr>
              <w:t>EUR)</w:t>
            </w:r>
          </w:p>
          <w:p w14:paraId="226C0898" w14:textId="7EFC62FF" w:rsidR="00D36720" w:rsidRPr="00A76E14" w:rsidRDefault="00E779B6" w:rsidP="00502661">
            <w:pPr>
              <w:rPr>
                <w:sz w:val="20"/>
                <w:szCs w:val="20"/>
                <w:lang w:val="fr-FR"/>
              </w:rPr>
            </w:pPr>
            <w:r>
              <w:rPr>
                <w:sz w:val="20"/>
                <w:szCs w:val="20"/>
                <w:lang w:val="fr-FR"/>
              </w:rPr>
              <w:t>9,26</w:t>
            </w:r>
            <w:r w:rsidR="00502661" w:rsidRPr="00A76E14">
              <w:rPr>
                <w:sz w:val="20"/>
                <w:szCs w:val="20"/>
                <w:lang w:val="fr-FR"/>
              </w:rPr>
              <w:t xml:space="preserve"> % cross-border usage</w:t>
            </w:r>
            <w:r w:rsidR="00C04BD8" w:rsidRPr="00A76E14">
              <w:rPr>
                <w:sz w:val="20"/>
                <w:szCs w:val="20"/>
                <w:lang w:val="fr-FR"/>
              </w:rPr>
              <w:t xml:space="preserve"> (</w:t>
            </w:r>
            <w:r w:rsidR="006827E5" w:rsidRPr="006827E5">
              <w:rPr>
                <w:sz w:val="20"/>
                <w:szCs w:val="20"/>
                <w:lang w:val="fr-FR"/>
              </w:rPr>
              <w:t>294,584,854</w:t>
            </w:r>
            <w:r w:rsidR="006827E5">
              <w:rPr>
                <w:sz w:val="20"/>
                <w:szCs w:val="20"/>
                <w:lang w:val="fr-FR"/>
              </w:rPr>
              <w:t xml:space="preserve"> </w:t>
            </w:r>
            <w:r w:rsidR="00C04BD8" w:rsidRPr="00A76E14">
              <w:rPr>
                <w:sz w:val="20"/>
                <w:szCs w:val="20"/>
                <w:lang w:val="fr-FR"/>
              </w:rPr>
              <w:t>EUR)</w:t>
            </w:r>
          </w:p>
          <w:p w14:paraId="41F2F200" w14:textId="77777777" w:rsidR="00502661" w:rsidRPr="00A76E14" w:rsidRDefault="00502661" w:rsidP="00502661">
            <w:pPr>
              <w:rPr>
                <w:sz w:val="20"/>
                <w:szCs w:val="20"/>
                <w:lang w:val="fr-FR"/>
              </w:rPr>
            </w:pPr>
          </w:p>
          <w:p w14:paraId="7BD598DA" w14:textId="28FC0C0E" w:rsidR="00D36720" w:rsidRPr="00FF7B11" w:rsidRDefault="00FF7B11" w:rsidP="000E7C4C">
            <w:pPr>
              <w:rPr>
                <w:sz w:val="20"/>
                <w:szCs w:val="20"/>
                <w:lang w:val="en-US"/>
              </w:rPr>
            </w:pPr>
            <w:r w:rsidRPr="00FF7B11">
              <w:rPr>
                <w:sz w:val="20"/>
                <w:szCs w:val="20"/>
                <w:lang w:val="en-GB"/>
              </w:rPr>
              <w:t xml:space="preserve">In conjunction with Art. 26 NC TAR consultation, the cost allocation test was carried out by the BNetzA. </w:t>
            </w:r>
            <w:r w:rsidRPr="00FF7B11">
              <w:rPr>
                <w:sz w:val="20"/>
                <w:szCs w:val="20"/>
                <w:lang w:val="en-US"/>
              </w:rPr>
              <w:t xml:space="preserve">The test results, including an assessment, are published on the website of the Federal Network Agency </w:t>
            </w:r>
            <w:r w:rsidRPr="00FF7B11">
              <w:rPr>
                <w:sz w:val="20"/>
                <w:szCs w:val="20"/>
                <w:lang w:val="en-GB"/>
              </w:rPr>
              <w:t xml:space="preserve">via </w:t>
            </w:r>
            <w:r w:rsidRPr="00FF7B11">
              <w:rPr>
                <w:sz w:val="20"/>
                <w:szCs w:val="20"/>
                <w:lang w:val="en-US"/>
              </w:rPr>
              <w:t xml:space="preserve">REGENT for the market area </w:t>
            </w:r>
            <w:r w:rsidRPr="00FF7B11">
              <w:rPr>
                <w:sz w:val="20"/>
                <w:szCs w:val="20"/>
                <w:lang w:val="en-GB"/>
              </w:rPr>
              <w:t>Trading Hub Europe (</w:t>
            </w:r>
            <w:hyperlink r:id="rId24" w:tgtFrame="_blank" w:history="1">
              <w:r w:rsidRPr="00FF7B11">
                <w:rPr>
                  <w:rStyle w:val="Hyperlink"/>
                  <w:sz w:val="20"/>
                  <w:szCs w:val="20"/>
                  <w:lang w:val="en-GB"/>
                </w:rPr>
                <w:t>BK9-19/610</w:t>
              </w:r>
            </w:hyperlink>
            <w:r w:rsidRPr="00FF7B11">
              <w:rPr>
                <w:sz w:val="20"/>
                <w:szCs w:val="20"/>
                <w:lang w:val="en-GB"/>
              </w:rPr>
              <w:t>) entry-exit system</w:t>
            </w:r>
            <w:r w:rsidRPr="00FF7B11">
              <w:rPr>
                <w:sz w:val="20"/>
                <w:szCs w:val="20"/>
                <w:lang w:val="en-US"/>
              </w:rPr>
              <w:t>.</w:t>
            </w:r>
            <w:r w:rsidRPr="00FF7B11">
              <w:rPr>
                <w:b/>
                <w:bCs/>
                <w:sz w:val="20"/>
                <w:szCs w:val="20"/>
                <w:lang w:val="en-US"/>
              </w:rPr>
              <w:t> </w:t>
            </w:r>
          </w:p>
        </w:tc>
      </w:tr>
      <w:tr w:rsidR="00D36720" w:rsidRPr="000F6EE8" w14:paraId="3A473E51" w14:textId="77777777" w:rsidTr="00387056">
        <w:tblPrEx>
          <w:tblCellMar>
            <w:left w:w="70" w:type="dxa"/>
            <w:right w:w="70" w:type="dxa"/>
          </w:tblCellMar>
        </w:tblPrEx>
        <w:tc>
          <w:tcPr>
            <w:tcW w:w="1161" w:type="dxa"/>
          </w:tcPr>
          <w:p w14:paraId="12A8F858" w14:textId="77777777" w:rsidR="00D36720" w:rsidRPr="003F0E2F" w:rsidRDefault="00D36720" w:rsidP="000E7C4C">
            <w:pPr>
              <w:rPr>
                <w:b/>
                <w:bCs/>
                <w:color w:val="00A984"/>
                <w:sz w:val="20"/>
                <w:szCs w:val="20"/>
              </w:rPr>
            </w:pPr>
            <w:bookmarkStart w:id="2" w:name="_Hlk151034915"/>
            <w:r w:rsidRPr="00DD0D9B">
              <w:rPr>
                <w:b/>
                <w:bCs/>
                <w:color w:val="00A984"/>
                <w:sz w:val="20"/>
                <w:szCs w:val="20"/>
              </w:rPr>
              <w:t>Art. 30 (1)(b)(vi)</w:t>
            </w:r>
          </w:p>
          <w:bookmarkEnd w:id="2"/>
          <w:p w14:paraId="774C0269" w14:textId="77777777" w:rsidR="00D36720" w:rsidRPr="003F0E2F" w:rsidRDefault="00D36720" w:rsidP="000E7C4C">
            <w:pPr>
              <w:rPr>
                <w:b/>
                <w:bCs/>
                <w:color w:val="00A984"/>
                <w:sz w:val="20"/>
                <w:szCs w:val="20"/>
              </w:rPr>
            </w:pPr>
          </w:p>
        </w:tc>
        <w:tc>
          <w:tcPr>
            <w:tcW w:w="2242" w:type="dxa"/>
          </w:tcPr>
          <w:p w14:paraId="3A056A0F" w14:textId="77777777" w:rsidR="00D36720" w:rsidRPr="0053622B" w:rsidRDefault="00D36720" w:rsidP="000E7C4C">
            <w:pPr>
              <w:rPr>
                <w:sz w:val="20"/>
                <w:szCs w:val="20"/>
              </w:rPr>
            </w:pPr>
            <w:r w:rsidRPr="0053622B">
              <w:rPr>
                <w:sz w:val="20"/>
                <w:szCs w:val="20"/>
              </w:rPr>
              <w:lastRenderedPageBreak/>
              <w:t xml:space="preserve">Informationen zum Ausgleich des </w:t>
            </w:r>
            <w:r w:rsidRPr="0053622B">
              <w:rPr>
                <w:sz w:val="20"/>
                <w:szCs w:val="20"/>
              </w:rPr>
              <w:lastRenderedPageBreak/>
              <w:t>Regulierungskontos in der vergangenen Entgeltperiode</w:t>
            </w:r>
          </w:p>
        </w:tc>
        <w:tc>
          <w:tcPr>
            <w:tcW w:w="4394" w:type="dxa"/>
          </w:tcPr>
          <w:p w14:paraId="2C956FFB" w14:textId="146E6DAC" w:rsidR="00CD5236" w:rsidRPr="00CD5236" w:rsidRDefault="00CD5236" w:rsidP="00CD5236">
            <w:pPr>
              <w:rPr>
                <w:sz w:val="20"/>
                <w:szCs w:val="20"/>
              </w:rPr>
            </w:pPr>
            <w:r w:rsidRPr="00CD5236">
              <w:rPr>
                <w:sz w:val="20"/>
                <w:szCs w:val="20"/>
              </w:rPr>
              <w:lastRenderedPageBreak/>
              <w:t>Tatsächliche erzielte Erlöse aus Fernleitungs- und Systemdienstleistungen 202</w:t>
            </w:r>
            <w:r w:rsidR="00795D87">
              <w:rPr>
                <w:sz w:val="20"/>
                <w:szCs w:val="20"/>
              </w:rPr>
              <w:t>2</w:t>
            </w:r>
            <w:r w:rsidRPr="00CD5236">
              <w:rPr>
                <w:sz w:val="20"/>
                <w:szCs w:val="20"/>
              </w:rPr>
              <w:t xml:space="preserve">: </w:t>
            </w:r>
            <w:r w:rsidR="00795D87">
              <w:rPr>
                <w:sz w:val="20"/>
                <w:szCs w:val="20"/>
              </w:rPr>
              <w:t>113.931.836</w:t>
            </w:r>
            <w:r w:rsidRPr="00CD5236">
              <w:rPr>
                <w:sz w:val="20"/>
                <w:szCs w:val="20"/>
              </w:rPr>
              <w:t xml:space="preserve"> €</w:t>
            </w:r>
          </w:p>
          <w:p w14:paraId="7BF5A96D" w14:textId="6B721AC0" w:rsidR="00CD5236" w:rsidRPr="00CD5236" w:rsidRDefault="00CD5236" w:rsidP="00CD5236">
            <w:pPr>
              <w:rPr>
                <w:sz w:val="20"/>
                <w:szCs w:val="20"/>
              </w:rPr>
            </w:pPr>
            <w:r w:rsidRPr="00CD5236">
              <w:rPr>
                <w:sz w:val="20"/>
                <w:szCs w:val="20"/>
              </w:rPr>
              <w:lastRenderedPageBreak/>
              <w:t xml:space="preserve">Fernleitungsdienstleistungen: </w:t>
            </w:r>
            <w:r w:rsidR="00E27FC8">
              <w:rPr>
                <w:sz w:val="20"/>
                <w:szCs w:val="20"/>
              </w:rPr>
              <w:t>113.790.177</w:t>
            </w:r>
            <w:r w:rsidRPr="00CD5236">
              <w:rPr>
                <w:sz w:val="20"/>
                <w:szCs w:val="20"/>
              </w:rPr>
              <w:t xml:space="preserve"> €</w:t>
            </w:r>
          </w:p>
          <w:p w14:paraId="1A71B21C" w14:textId="2A8A12CD" w:rsidR="00CD5236" w:rsidRPr="00CD5236" w:rsidRDefault="00CD5236" w:rsidP="00CD5236">
            <w:pPr>
              <w:rPr>
                <w:sz w:val="20"/>
                <w:szCs w:val="20"/>
              </w:rPr>
            </w:pPr>
            <w:r w:rsidRPr="00CD5236">
              <w:rPr>
                <w:sz w:val="20"/>
                <w:szCs w:val="20"/>
              </w:rPr>
              <w:t xml:space="preserve">Systemdienstleistungen: </w:t>
            </w:r>
            <w:r w:rsidR="00E27FC8">
              <w:rPr>
                <w:sz w:val="20"/>
                <w:szCs w:val="20"/>
              </w:rPr>
              <w:t>141.659</w:t>
            </w:r>
            <w:r w:rsidRPr="00CD5236">
              <w:rPr>
                <w:sz w:val="20"/>
                <w:szCs w:val="20"/>
              </w:rPr>
              <w:t>€</w:t>
            </w:r>
          </w:p>
          <w:p w14:paraId="16CAAB39" w14:textId="653BF96C" w:rsidR="00CD5236" w:rsidRPr="00CD5236" w:rsidRDefault="00CD5236" w:rsidP="00CD5236">
            <w:pPr>
              <w:rPr>
                <w:sz w:val="20"/>
                <w:szCs w:val="20"/>
              </w:rPr>
            </w:pPr>
            <w:r w:rsidRPr="00CD5236">
              <w:rPr>
                <w:sz w:val="20"/>
                <w:szCs w:val="20"/>
              </w:rPr>
              <w:t xml:space="preserve">Saldo des Regulierungskontos des abgeschlossenen Geschäftsjahres </w:t>
            </w:r>
            <w:r w:rsidR="007D7F44" w:rsidRPr="00CD5236">
              <w:rPr>
                <w:sz w:val="20"/>
                <w:szCs w:val="20"/>
              </w:rPr>
              <w:t>202</w:t>
            </w:r>
            <w:r w:rsidR="007D7F44">
              <w:rPr>
                <w:sz w:val="20"/>
                <w:szCs w:val="20"/>
              </w:rPr>
              <w:t>2</w:t>
            </w:r>
            <w:r w:rsidRPr="00CD5236">
              <w:rPr>
                <w:sz w:val="20"/>
                <w:szCs w:val="20"/>
              </w:rPr>
              <w:t xml:space="preserve">: </w:t>
            </w:r>
            <w:r w:rsidR="007D7F44">
              <w:rPr>
                <w:sz w:val="20"/>
                <w:szCs w:val="20"/>
              </w:rPr>
              <w:t>-14.851.659</w:t>
            </w:r>
            <w:r w:rsidRPr="00CD5236">
              <w:rPr>
                <w:sz w:val="20"/>
                <w:szCs w:val="20"/>
              </w:rPr>
              <w:t xml:space="preserve"> € (Mindererlös)</w:t>
            </w:r>
          </w:p>
          <w:p w14:paraId="78177562" w14:textId="4E506B67" w:rsidR="00CD5236" w:rsidRPr="00CD5236" w:rsidRDefault="00CD5236" w:rsidP="00CD5236">
            <w:pPr>
              <w:rPr>
                <w:sz w:val="20"/>
                <w:szCs w:val="20"/>
              </w:rPr>
            </w:pPr>
            <w:r w:rsidRPr="00CD5236">
              <w:rPr>
                <w:sz w:val="20"/>
                <w:szCs w:val="20"/>
              </w:rPr>
              <w:t>Unterdeckung des Regulierungskontos zum 31.12.</w:t>
            </w:r>
            <w:r w:rsidR="007D7F44" w:rsidRPr="00CD5236">
              <w:rPr>
                <w:sz w:val="20"/>
                <w:szCs w:val="20"/>
              </w:rPr>
              <w:t>202</w:t>
            </w:r>
            <w:r w:rsidR="007D7F44">
              <w:rPr>
                <w:sz w:val="20"/>
                <w:szCs w:val="20"/>
              </w:rPr>
              <w:t>2</w:t>
            </w:r>
            <w:r w:rsidRPr="00CD5236">
              <w:rPr>
                <w:sz w:val="20"/>
                <w:szCs w:val="20"/>
              </w:rPr>
              <w:t xml:space="preserve">: </w:t>
            </w:r>
            <w:r w:rsidR="007D7F44">
              <w:rPr>
                <w:sz w:val="20"/>
                <w:szCs w:val="20"/>
              </w:rPr>
              <w:t>1.557.390</w:t>
            </w:r>
            <w:r w:rsidRPr="00CD5236">
              <w:rPr>
                <w:sz w:val="20"/>
                <w:szCs w:val="20"/>
              </w:rPr>
              <w:t xml:space="preserve"> € (Mehr-/Mindererlös)</w:t>
            </w:r>
          </w:p>
          <w:p w14:paraId="36FF1BFA" w14:textId="77777777" w:rsidR="00CD5236" w:rsidRPr="00CD5236" w:rsidRDefault="00CD5236" w:rsidP="00CD5236">
            <w:pPr>
              <w:rPr>
                <w:sz w:val="20"/>
                <w:szCs w:val="20"/>
              </w:rPr>
            </w:pPr>
          </w:p>
          <w:p w14:paraId="73E10488" w14:textId="56901215" w:rsidR="00CD5236" w:rsidRPr="00CD5236" w:rsidRDefault="00CD5236" w:rsidP="00CD5236">
            <w:pPr>
              <w:rPr>
                <w:sz w:val="20"/>
                <w:szCs w:val="20"/>
              </w:rPr>
            </w:pPr>
            <w:r w:rsidRPr="00CD5236">
              <w:rPr>
                <w:sz w:val="20"/>
                <w:szCs w:val="20"/>
              </w:rPr>
              <w:t xml:space="preserve">(2) Der Saldo des Regulierungskontos des abgeschlossenen Geschäftsjahres </w:t>
            </w:r>
            <w:r w:rsidR="00A914B3" w:rsidRPr="00CD5236">
              <w:rPr>
                <w:sz w:val="20"/>
                <w:szCs w:val="20"/>
              </w:rPr>
              <w:t>202</w:t>
            </w:r>
            <w:r w:rsidR="00A914B3">
              <w:rPr>
                <w:sz w:val="20"/>
                <w:szCs w:val="20"/>
              </w:rPr>
              <w:t>2</w:t>
            </w:r>
            <w:r w:rsidR="00A914B3" w:rsidRPr="00CD5236">
              <w:rPr>
                <w:sz w:val="20"/>
                <w:szCs w:val="20"/>
              </w:rPr>
              <w:t xml:space="preserve"> </w:t>
            </w:r>
            <w:r w:rsidRPr="00CD5236">
              <w:rPr>
                <w:sz w:val="20"/>
                <w:szCs w:val="20"/>
              </w:rPr>
              <w:t>wird zum 31.12.202</w:t>
            </w:r>
            <w:r w:rsidR="00A914B3">
              <w:rPr>
                <w:sz w:val="20"/>
                <w:szCs w:val="20"/>
              </w:rPr>
              <w:t>3</w:t>
            </w:r>
            <w:r w:rsidRPr="00CD5236">
              <w:rPr>
                <w:sz w:val="20"/>
                <w:szCs w:val="20"/>
              </w:rPr>
              <w:t xml:space="preserve"> festgestellt, beantragt und in gleichmäßigen Raten – inklusive Verzinsung – über drei Kalenderjahre ausgeglichen. Die Verteilung beginnt jeweils im übernächsten Jahr nach Antragsstellung</w:t>
            </w:r>
          </w:p>
          <w:p w14:paraId="2BB40136" w14:textId="1A77D6E3" w:rsidR="00D36720" w:rsidRPr="005C4F32" w:rsidRDefault="00CD5236" w:rsidP="00CD5236">
            <w:pPr>
              <w:rPr>
                <w:sz w:val="20"/>
                <w:szCs w:val="20"/>
              </w:rPr>
            </w:pPr>
            <w:r w:rsidRPr="00CD5236">
              <w:rPr>
                <w:sz w:val="20"/>
                <w:szCs w:val="20"/>
              </w:rPr>
              <w:t>Regulierungskonto-spezifische Anreizmechanismen bestehen im deutschen Regulierungssystem nicht.</w:t>
            </w:r>
          </w:p>
        </w:tc>
        <w:tc>
          <w:tcPr>
            <w:tcW w:w="1984" w:type="dxa"/>
          </w:tcPr>
          <w:p w14:paraId="339F464A" w14:textId="77777777" w:rsidR="00D36720" w:rsidRPr="00532D01" w:rsidRDefault="00D36720" w:rsidP="000E7C4C">
            <w:pPr>
              <w:rPr>
                <w:sz w:val="20"/>
                <w:szCs w:val="20"/>
                <w:lang w:val="en-GB"/>
              </w:rPr>
            </w:pPr>
            <w:r w:rsidRPr="00532D01">
              <w:rPr>
                <w:sz w:val="20"/>
                <w:szCs w:val="20"/>
                <w:lang w:val="en-GB"/>
              </w:rPr>
              <w:lastRenderedPageBreak/>
              <w:t xml:space="preserve">Information related to the previous tariff </w:t>
            </w:r>
            <w:r w:rsidRPr="00532D01">
              <w:rPr>
                <w:sz w:val="20"/>
                <w:szCs w:val="20"/>
                <w:lang w:val="en-GB"/>
              </w:rPr>
              <w:lastRenderedPageBreak/>
              <w:t>period regarding the reconciliation of the regulatory account.</w:t>
            </w:r>
          </w:p>
        </w:tc>
        <w:tc>
          <w:tcPr>
            <w:tcW w:w="5103" w:type="dxa"/>
          </w:tcPr>
          <w:p w14:paraId="00585E47" w14:textId="61E61F89" w:rsidR="00D36720" w:rsidRDefault="00D36720" w:rsidP="000E7C4C">
            <w:pPr>
              <w:rPr>
                <w:sz w:val="20"/>
                <w:szCs w:val="20"/>
                <w:lang w:val="en-GB"/>
              </w:rPr>
            </w:pPr>
            <w:r w:rsidRPr="003716BF">
              <w:rPr>
                <w:sz w:val="20"/>
                <w:szCs w:val="20"/>
                <w:lang w:val="en-GB"/>
              </w:rPr>
              <w:lastRenderedPageBreak/>
              <w:t xml:space="preserve">Actual </w:t>
            </w:r>
            <w:r w:rsidR="006F745F">
              <w:rPr>
                <w:sz w:val="20"/>
                <w:szCs w:val="20"/>
                <w:lang w:val="en-GB"/>
              </w:rPr>
              <w:t>generated</w:t>
            </w:r>
            <w:r w:rsidRPr="003716BF">
              <w:rPr>
                <w:sz w:val="20"/>
                <w:szCs w:val="20"/>
                <w:lang w:val="en-GB"/>
              </w:rPr>
              <w:t xml:space="preserve"> revenues from transmission and non-transmission services 20</w:t>
            </w:r>
            <w:r w:rsidR="00502661">
              <w:rPr>
                <w:sz w:val="20"/>
                <w:szCs w:val="20"/>
                <w:lang w:val="en-GB"/>
              </w:rPr>
              <w:t>2</w:t>
            </w:r>
            <w:r w:rsidR="00AD2E0A">
              <w:rPr>
                <w:sz w:val="20"/>
                <w:szCs w:val="20"/>
                <w:lang w:val="en-GB"/>
              </w:rPr>
              <w:t xml:space="preserve">2: </w:t>
            </w:r>
            <w:r w:rsidR="00E27FC8">
              <w:rPr>
                <w:sz w:val="20"/>
                <w:szCs w:val="20"/>
                <w:lang w:val="en-GB"/>
              </w:rPr>
              <w:t>113,931,836</w:t>
            </w:r>
            <w:r w:rsidR="006D6A98">
              <w:rPr>
                <w:sz w:val="20"/>
                <w:szCs w:val="20"/>
                <w:lang w:val="en-GB"/>
              </w:rPr>
              <w:t xml:space="preserve"> </w:t>
            </w:r>
            <w:r w:rsidR="00502661">
              <w:rPr>
                <w:sz w:val="20"/>
                <w:szCs w:val="20"/>
                <w:lang w:val="en-GB"/>
              </w:rPr>
              <w:t>EUR</w:t>
            </w:r>
            <w:r w:rsidRPr="003716BF">
              <w:rPr>
                <w:sz w:val="20"/>
                <w:szCs w:val="20"/>
                <w:lang w:val="en-GB"/>
              </w:rPr>
              <w:t>.</w:t>
            </w:r>
          </w:p>
          <w:p w14:paraId="592571A7" w14:textId="77777777" w:rsidR="00D36720" w:rsidRPr="003716BF" w:rsidRDefault="00D36720" w:rsidP="000E7C4C">
            <w:pPr>
              <w:rPr>
                <w:sz w:val="20"/>
                <w:szCs w:val="20"/>
                <w:lang w:val="en-GB"/>
              </w:rPr>
            </w:pPr>
          </w:p>
          <w:p w14:paraId="1BA280A2" w14:textId="13EE3AA1" w:rsidR="00CD5236" w:rsidRPr="00CD5236" w:rsidRDefault="00CD5236" w:rsidP="00CD5236">
            <w:pPr>
              <w:rPr>
                <w:sz w:val="20"/>
                <w:szCs w:val="20"/>
                <w:lang w:val="en-GB"/>
              </w:rPr>
            </w:pPr>
            <w:r>
              <w:rPr>
                <w:sz w:val="20"/>
                <w:szCs w:val="20"/>
                <w:lang w:val="en-GB"/>
              </w:rPr>
              <w:t xml:space="preserve">- </w:t>
            </w:r>
            <w:r w:rsidRPr="00CD5236">
              <w:rPr>
                <w:sz w:val="20"/>
                <w:szCs w:val="20"/>
                <w:lang w:val="en-GB"/>
              </w:rPr>
              <w:t xml:space="preserve">thereof transmission service: </w:t>
            </w:r>
            <w:r w:rsidR="00E27FC8">
              <w:rPr>
                <w:sz w:val="20"/>
                <w:szCs w:val="20"/>
                <w:lang w:val="en-GB"/>
              </w:rPr>
              <w:t>113,790,177</w:t>
            </w:r>
            <w:r w:rsidRPr="00CD5236">
              <w:rPr>
                <w:sz w:val="20"/>
                <w:szCs w:val="20"/>
                <w:lang w:val="en-GB"/>
              </w:rPr>
              <w:t xml:space="preserve"> €</w:t>
            </w:r>
          </w:p>
          <w:p w14:paraId="442D996C" w14:textId="7FBDF6C7" w:rsidR="00CD5236" w:rsidRDefault="00CD5236" w:rsidP="00CD5236">
            <w:pPr>
              <w:rPr>
                <w:sz w:val="20"/>
                <w:szCs w:val="20"/>
                <w:lang w:val="en-GB"/>
              </w:rPr>
            </w:pPr>
            <w:r w:rsidRPr="00CD5236">
              <w:rPr>
                <w:sz w:val="20"/>
                <w:szCs w:val="20"/>
                <w:lang w:val="en-GB"/>
              </w:rPr>
              <w:t>-</w:t>
            </w:r>
            <w:r>
              <w:rPr>
                <w:sz w:val="20"/>
                <w:szCs w:val="20"/>
                <w:lang w:val="en-GB"/>
              </w:rPr>
              <w:t xml:space="preserve"> </w:t>
            </w:r>
            <w:r w:rsidRPr="00CD5236">
              <w:rPr>
                <w:sz w:val="20"/>
                <w:szCs w:val="20"/>
                <w:lang w:val="en-GB"/>
              </w:rPr>
              <w:t xml:space="preserve">thereof non-transmission service: </w:t>
            </w:r>
            <w:r w:rsidR="00E27FC8">
              <w:rPr>
                <w:sz w:val="20"/>
                <w:szCs w:val="20"/>
                <w:lang w:val="en-GB"/>
              </w:rPr>
              <w:t>141,659</w:t>
            </w:r>
            <w:r w:rsidRPr="00CD5236">
              <w:rPr>
                <w:sz w:val="20"/>
                <w:szCs w:val="20"/>
                <w:lang w:val="en-GB"/>
              </w:rPr>
              <w:t xml:space="preserve"> €</w:t>
            </w:r>
          </w:p>
          <w:p w14:paraId="26A0EFAA" w14:textId="77777777" w:rsidR="00CD5236" w:rsidRPr="00CD5236" w:rsidRDefault="00CD5236" w:rsidP="00CD5236">
            <w:pPr>
              <w:rPr>
                <w:sz w:val="20"/>
                <w:szCs w:val="20"/>
                <w:lang w:val="en-GB"/>
              </w:rPr>
            </w:pPr>
          </w:p>
          <w:p w14:paraId="2463A485" w14:textId="5DDA3943" w:rsidR="00CD5236" w:rsidRPr="00CD5236" w:rsidRDefault="00CD5236" w:rsidP="00CD5236">
            <w:pPr>
              <w:rPr>
                <w:sz w:val="20"/>
                <w:szCs w:val="20"/>
                <w:lang w:val="en-GB"/>
              </w:rPr>
            </w:pPr>
            <w:r w:rsidRPr="00CD5236">
              <w:rPr>
                <w:sz w:val="20"/>
                <w:szCs w:val="20"/>
                <w:lang w:val="en-GB"/>
              </w:rPr>
              <w:t>Aggregated balance of the regulatory account of the closed financial year 202</w:t>
            </w:r>
            <w:r w:rsidR="007D7F44">
              <w:rPr>
                <w:sz w:val="20"/>
                <w:szCs w:val="20"/>
                <w:lang w:val="en-GB"/>
              </w:rPr>
              <w:t>2</w:t>
            </w:r>
            <w:r w:rsidRPr="00CD5236">
              <w:rPr>
                <w:sz w:val="20"/>
                <w:szCs w:val="20"/>
                <w:lang w:val="en-GB"/>
              </w:rPr>
              <w:t xml:space="preserve">: </w:t>
            </w:r>
            <w:r w:rsidR="007D7F44">
              <w:rPr>
                <w:sz w:val="20"/>
                <w:szCs w:val="20"/>
                <w:lang w:val="en-GB"/>
              </w:rPr>
              <w:t>-14,851,659</w:t>
            </w:r>
            <w:r w:rsidRPr="00CD5236">
              <w:rPr>
                <w:sz w:val="20"/>
                <w:szCs w:val="20"/>
                <w:lang w:val="en-GB"/>
              </w:rPr>
              <w:t xml:space="preserve"> € (excess revenues)</w:t>
            </w:r>
          </w:p>
          <w:p w14:paraId="1DAB4574" w14:textId="4D7FDD81" w:rsidR="00CD5236" w:rsidRPr="00CD5236" w:rsidRDefault="00CD5236" w:rsidP="00CD5236">
            <w:pPr>
              <w:rPr>
                <w:sz w:val="20"/>
                <w:szCs w:val="20"/>
                <w:lang w:val="en-GB"/>
              </w:rPr>
            </w:pPr>
            <w:r w:rsidRPr="00CD5236">
              <w:rPr>
                <w:sz w:val="20"/>
                <w:szCs w:val="20"/>
                <w:lang w:val="en-GB"/>
              </w:rPr>
              <w:t>Total balance of the regulatory account until 31.12.202</w:t>
            </w:r>
            <w:r w:rsidR="007D7F44">
              <w:rPr>
                <w:sz w:val="20"/>
                <w:szCs w:val="20"/>
                <w:lang w:val="en-GB"/>
              </w:rPr>
              <w:t>2</w:t>
            </w:r>
            <w:r w:rsidRPr="00CD5236">
              <w:rPr>
                <w:sz w:val="20"/>
                <w:szCs w:val="20"/>
                <w:lang w:val="en-GB"/>
              </w:rPr>
              <w:t xml:space="preserve">:  </w:t>
            </w:r>
            <w:r w:rsidR="007D7F44">
              <w:rPr>
                <w:sz w:val="20"/>
                <w:szCs w:val="20"/>
                <w:lang w:val="en-GB"/>
              </w:rPr>
              <w:t>1,557,390</w:t>
            </w:r>
            <w:r w:rsidRPr="00CD5236">
              <w:rPr>
                <w:sz w:val="20"/>
                <w:szCs w:val="20"/>
                <w:lang w:val="en-GB"/>
              </w:rPr>
              <w:t xml:space="preserve"> € (excess revenues)</w:t>
            </w:r>
          </w:p>
          <w:p w14:paraId="4E944363" w14:textId="77777777" w:rsidR="00CD5236" w:rsidRPr="00CD5236" w:rsidRDefault="00CD5236" w:rsidP="00CD5236">
            <w:pPr>
              <w:rPr>
                <w:sz w:val="20"/>
                <w:szCs w:val="20"/>
                <w:lang w:val="en-GB"/>
              </w:rPr>
            </w:pPr>
          </w:p>
          <w:p w14:paraId="28EA1B69" w14:textId="600EBC7E" w:rsidR="00CD5236" w:rsidRPr="00CD5236" w:rsidRDefault="00CD5236" w:rsidP="00CD5236">
            <w:pPr>
              <w:rPr>
                <w:sz w:val="20"/>
                <w:szCs w:val="20"/>
                <w:lang w:val="en-GB"/>
              </w:rPr>
            </w:pPr>
            <w:r w:rsidRPr="00CD5236">
              <w:rPr>
                <w:sz w:val="20"/>
                <w:szCs w:val="20"/>
                <w:lang w:val="en-GB"/>
              </w:rPr>
              <w:t>2) Reconciliation of the regulatory account for the concluded business year 202</w:t>
            </w:r>
            <w:r w:rsidR="00A914B3">
              <w:rPr>
                <w:sz w:val="20"/>
                <w:szCs w:val="20"/>
                <w:lang w:val="en-GB"/>
              </w:rPr>
              <w:t>2</w:t>
            </w:r>
            <w:r w:rsidRPr="00CD5236">
              <w:rPr>
                <w:sz w:val="20"/>
                <w:szCs w:val="20"/>
                <w:lang w:val="en-GB"/>
              </w:rPr>
              <w:t xml:space="preserve"> will be determined as of 31.12.202</w:t>
            </w:r>
            <w:r w:rsidR="00A914B3">
              <w:rPr>
                <w:sz w:val="20"/>
                <w:szCs w:val="20"/>
                <w:lang w:val="en-GB"/>
              </w:rPr>
              <w:t>3</w:t>
            </w:r>
            <w:r w:rsidRPr="00CD5236">
              <w:rPr>
                <w:sz w:val="20"/>
                <w:szCs w:val="20"/>
                <w:lang w:val="en-GB"/>
              </w:rPr>
              <w:t xml:space="preserve"> and it will be reconciled in equal instalments – including interest payments – over the three calendar years. The reconciliation begins the year after next after the application was submitted. </w:t>
            </w:r>
          </w:p>
          <w:p w14:paraId="71E35BD7" w14:textId="382A5AF2" w:rsidR="00D36720" w:rsidRPr="00867109" w:rsidRDefault="00CD5236" w:rsidP="00CD5236">
            <w:pPr>
              <w:rPr>
                <w:sz w:val="20"/>
                <w:szCs w:val="20"/>
                <w:lang w:val="en-GB"/>
              </w:rPr>
            </w:pPr>
            <w:r w:rsidRPr="00CD5236">
              <w:rPr>
                <w:sz w:val="20"/>
                <w:szCs w:val="20"/>
                <w:lang w:val="en-GB"/>
              </w:rPr>
              <w:t>Incentive mechanisms specifically for the regulatory account do not exist in the German regulatory system.</w:t>
            </w:r>
          </w:p>
        </w:tc>
      </w:tr>
      <w:tr w:rsidR="00D36720" w:rsidRPr="000F6EE8" w14:paraId="3B061945" w14:textId="77777777" w:rsidTr="00387056">
        <w:tblPrEx>
          <w:tblCellMar>
            <w:left w:w="70" w:type="dxa"/>
            <w:right w:w="70" w:type="dxa"/>
          </w:tblCellMar>
        </w:tblPrEx>
        <w:tc>
          <w:tcPr>
            <w:tcW w:w="1161" w:type="dxa"/>
          </w:tcPr>
          <w:p w14:paraId="5A2E82F7" w14:textId="77777777" w:rsidR="00D36720" w:rsidRPr="003F0E2F" w:rsidRDefault="00D36720" w:rsidP="000E7C4C">
            <w:pPr>
              <w:rPr>
                <w:b/>
                <w:bCs/>
                <w:color w:val="00A984"/>
                <w:sz w:val="20"/>
                <w:szCs w:val="20"/>
              </w:rPr>
            </w:pPr>
            <w:r w:rsidRPr="003F0E2F">
              <w:rPr>
                <w:b/>
                <w:bCs/>
                <w:color w:val="00A984"/>
                <w:sz w:val="20"/>
                <w:szCs w:val="20"/>
              </w:rPr>
              <w:lastRenderedPageBreak/>
              <w:t>Art. 30 (1)(b)(vii)</w:t>
            </w:r>
          </w:p>
          <w:p w14:paraId="456319E4" w14:textId="77777777" w:rsidR="00D36720" w:rsidRPr="003F0E2F" w:rsidRDefault="00D36720" w:rsidP="000E7C4C">
            <w:pPr>
              <w:rPr>
                <w:b/>
                <w:bCs/>
                <w:color w:val="00A984"/>
                <w:sz w:val="20"/>
                <w:szCs w:val="20"/>
              </w:rPr>
            </w:pPr>
          </w:p>
        </w:tc>
        <w:tc>
          <w:tcPr>
            <w:tcW w:w="2242" w:type="dxa"/>
          </w:tcPr>
          <w:p w14:paraId="05E529B5" w14:textId="77777777" w:rsidR="00D36720" w:rsidRPr="0053622B" w:rsidRDefault="00D36720" w:rsidP="000E7C4C">
            <w:pPr>
              <w:rPr>
                <w:sz w:val="20"/>
                <w:szCs w:val="20"/>
              </w:rPr>
            </w:pPr>
            <w:r w:rsidRPr="0053622B">
              <w:rPr>
                <w:sz w:val="20"/>
                <w:szCs w:val="20"/>
              </w:rPr>
              <w:t>Information zur beabsichtigte Nutzung des Auktionsaufschlags</w:t>
            </w:r>
          </w:p>
        </w:tc>
        <w:tc>
          <w:tcPr>
            <w:tcW w:w="4394" w:type="dxa"/>
          </w:tcPr>
          <w:p w14:paraId="0180D275" w14:textId="77777777" w:rsidR="004830BE" w:rsidRPr="004830BE" w:rsidRDefault="004830BE" w:rsidP="004830BE">
            <w:pPr>
              <w:rPr>
                <w:b/>
                <w:bCs/>
                <w:sz w:val="20"/>
                <w:szCs w:val="20"/>
              </w:rPr>
            </w:pPr>
            <w:r w:rsidRPr="004830BE">
              <w:rPr>
                <w:sz w:val="20"/>
                <w:szCs w:val="20"/>
              </w:rPr>
              <w:t>Auktionserlöse werden auf dem Regulierungskonto nach §5 ARegV verbucht. Dieses Vorgehen entfaltet somit eine entgeltmindernde Wirkung in den Jahren, in denen das Regulierungskonto ausgeglichen wird.</w:t>
            </w:r>
            <w:r w:rsidRPr="004830BE">
              <w:rPr>
                <w:b/>
                <w:bCs/>
                <w:sz w:val="20"/>
                <w:szCs w:val="20"/>
              </w:rPr>
              <w:t> </w:t>
            </w:r>
          </w:p>
          <w:p w14:paraId="461675CC" w14:textId="77777777" w:rsidR="004830BE" w:rsidRPr="004830BE" w:rsidRDefault="004830BE" w:rsidP="004830BE">
            <w:pPr>
              <w:rPr>
                <w:b/>
                <w:bCs/>
                <w:sz w:val="20"/>
                <w:szCs w:val="20"/>
              </w:rPr>
            </w:pPr>
            <w:r w:rsidRPr="004830BE">
              <w:rPr>
                <w:sz w:val="20"/>
                <w:szCs w:val="20"/>
              </w:rPr>
              <w:t>Entsprechend den Ausführungen der BNetzA im Hinweispapier für Fernleitungsnetzbetreiber zur Veröffentlichung von Entgelten gemäß Art. 29, 31 und 32 der Verordnung (EU) Nr. 2017/460 („NC TAR“) vom 02.06.2023 können davon abweichend die bereits erzielten Auktionsaufschläge für das Jahr 2024 entgeltmindernd bei der Berechnung des REGENT-Tarifs 2024 angesetzt, sofern nicht von einer Kündigung der entsprechenden Kapazitätsverträge ausgegangen wird.</w:t>
            </w:r>
            <w:r w:rsidRPr="004830BE">
              <w:rPr>
                <w:b/>
                <w:bCs/>
                <w:sz w:val="20"/>
                <w:szCs w:val="20"/>
              </w:rPr>
              <w:t> </w:t>
            </w:r>
          </w:p>
          <w:p w14:paraId="437DAB1E" w14:textId="6111C35E" w:rsidR="00D36720" w:rsidRPr="0053622B" w:rsidRDefault="00D36720" w:rsidP="000E7C4C">
            <w:pPr>
              <w:rPr>
                <w:sz w:val="20"/>
                <w:szCs w:val="20"/>
              </w:rPr>
            </w:pPr>
          </w:p>
        </w:tc>
        <w:tc>
          <w:tcPr>
            <w:tcW w:w="1984" w:type="dxa"/>
          </w:tcPr>
          <w:p w14:paraId="471A77BD" w14:textId="77777777" w:rsidR="00D36720" w:rsidRPr="00532D01" w:rsidRDefault="00D36720" w:rsidP="000E7C4C">
            <w:pPr>
              <w:rPr>
                <w:sz w:val="20"/>
                <w:szCs w:val="20"/>
                <w:lang w:val="en-GB"/>
              </w:rPr>
            </w:pPr>
            <w:r w:rsidRPr="00532D01">
              <w:rPr>
                <w:sz w:val="20"/>
                <w:szCs w:val="20"/>
                <w:lang w:val="en-GB"/>
              </w:rPr>
              <w:t>Information on the intended use of the auction premium.</w:t>
            </w:r>
          </w:p>
        </w:tc>
        <w:tc>
          <w:tcPr>
            <w:tcW w:w="5103" w:type="dxa"/>
          </w:tcPr>
          <w:p w14:paraId="3EF64B60" w14:textId="77777777" w:rsidR="00765D91" w:rsidRPr="00765D91" w:rsidRDefault="00765D91" w:rsidP="00765D91">
            <w:pPr>
              <w:rPr>
                <w:b/>
                <w:bCs/>
                <w:sz w:val="20"/>
                <w:szCs w:val="20"/>
                <w:lang w:val="en-US"/>
              </w:rPr>
            </w:pPr>
            <w:r w:rsidRPr="00765D91">
              <w:rPr>
                <w:sz w:val="20"/>
                <w:szCs w:val="20"/>
                <w:lang w:val="en-US"/>
              </w:rPr>
              <w:t>Auction revenues are booked on the regulatory account in accordance with Article 5 ARegV. This transaction thus develops a tariff-reducing effect in the years in which the regulatory account is reconciled. </w:t>
            </w:r>
            <w:r w:rsidRPr="00765D91">
              <w:rPr>
                <w:b/>
                <w:bCs/>
                <w:sz w:val="20"/>
                <w:szCs w:val="20"/>
                <w:lang w:val="en-US"/>
              </w:rPr>
              <w:t> </w:t>
            </w:r>
          </w:p>
          <w:p w14:paraId="09B6877B" w14:textId="77777777" w:rsidR="00765D91" w:rsidRPr="00765D91" w:rsidRDefault="00765D91" w:rsidP="00765D91">
            <w:pPr>
              <w:rPr>
                <w:b/>
                <w:bCs/>
                <w:sz w:val="20"/>
                <w:szCs w:val="20"/>
                <w:lang w:val="en-US"/>
              </w:rPr>
            </w:pPr>
            <w:r w:rsidRPr="00765D91">
              <w:rPr>
                <w:sz w:val="20"/>
                <w:szCs w:val="20"/>
                <w:lang w:val="en-US"/>
              </w:rPr>
              <w:t>In accordance with the explanations of the BNetzA in the information paper for transmission system operators on the publication of tariffs in accordance with Art. 29, 31 and 32 of Regulation (EU) No. 2017/460 ("NC TAR") of 02.06.2023 the auction premium already achieved for the year 2024 that can be forecast on the basis of a best possible estimate, e.g. on the basis of reliable knowledge from previous annual auctions, can be used to reduce the tariff.</w:t>
            </w:r>
            <w:r w:rsidRPr="00765D91">
              <w:rPr>
                <w:b/>
                <w:bCs/>
                <w:sz w:val="20"/>
                <w:szCs w:val="20"/>
                <w:lang w:val="en-US"/>
              </w:rPr>
              <w:t> </w:t>
            </w:r>
          </w:p>
          <w:p w14:paraId="5D705F55" w14:textId="236A456E" w:rsidR="00D36720" w:rsidRPr="00765D91" w:rsidRDefault="00D36720" w:rsidP="000E7C4C">
            <w:pPr>
              <w:rPr>
                <w:sz w:val="20"/>
                <w:szCs w:val="20"/>
                <w:lang w:val="en-US"/>
              </w:rPr>
            </w:pPr>
          </w:p>
        </w:tc>
      </w:tr>
      <w:tr w:rsidR="00040E3B" w:rsidRPr="000F6EE8" w14:paraId="38352C47" w14:textId="77777777" w:rsidTr="00387056">
        <w:tblPrEx>
          <w:tblCellMar>
            <w:left w:w="70" w:type="dxa"/>
            <w:right w:w="70" w:type="dxa"/>
          </w:tblCellMar>
        </w:tblPrEx>
        <w:tc>
          <w:tcPr>
            <w:tcW w:w="1161" w:type="dxa"/>
          </w:tcPr>
          <w:p w14:paraId="613D1AFF" w14:textId="4342DFDE" w:rsidR="00040E3B" w:rsidRPr="003F0E2F" w:rsidRDefault="00040E3B" w:rsidP="00040E3B">
            <w:pPr>
              <w:rPr>
                <w:b/>
                <w:bCs/>
                <w:color w:val="00A984"/>
                <w:sz w:val="20"/>
                <w:szCs w:val="20"/>
              </w:rPr>
            </w:pPr>
            <w:r w:rsidRPr="008631F7">
              <w:rPr>
                <w:b/>
                <w:bCs/>
                <w:color w:val="00A984"/>
                <w:sz w:val="20"/>
                <w:szCs w:val="20"/>
              </w:rPr>
              <w:t xml:space="preserve">Art. 30 (1) c) </w:t>
            </w:r>
          </w:p>
        </w:tc>
        <w:tc>
          <w:tcPr>
            <w:tcW w:w="2242" w:type="dxa"/>
          </w:tcPr>
          <w:p w14:paraId="00419B0E" w14:textId="64EB2DE3" w:rsidR="00040E3B" w:rsidRPr="0053622B" w:rsidRDefault="00040E3B" w:rsidP="00040E3B">
            <w:pPr>
              <w:rPr>
                <w:sz w:val="20"/>
                <w:szCs w:val="20"/>
              </w:rPr>
            </w:pPr>
            <w:r w:rsidRPr="00972D9B">
              <w:t xml:space="preserve">Die folgenden Informationen zu Fernleitungs- und </w:t>
            </w:r>
            <w:r w:rsidRPr="00972D9B">
              <w:lastRenderedPageBreak/>
              <w:t xml:space="preserve">System-dienstleistungsentgelten zusammen mit den einschlägigen Informationen zu ihrer Berechnung </w:t>
            </w:r>
          </w:p>
        </w:tc>
        <w:tc>
          <w:tcPr>
            <w:tcW w:w="4394" w:type="dxa"/>
          </w:tcPr>
          <w:p w14:paraId="221FF464" w14:textId="6339D73E" w:rsidR="00040E3B" w:rsidRPr="005C4F32" w:rsidRDefault="00040E3B" w:rsidP="00040E3B">
            <w:pPr>
              <w:rPr>
                <w:sz w:val="20"/>
                <w:szCs w:val="20"/>
              </w:rPr>
            </w:pPr>
            <w:r w:rsidRPr="00972D9B">
              <w:lastRenderedPageBreak/>
              <w:t xml:space="preserve">Die Bundesnetzagentur hat im Rahmen der Festlegung REGENT 2021 die Anwendung einer Briefmarke im Marktgebiet Trading Hub </w:t>
            </w:r>
            <w:r w:rsidRPr="00972D9B">
              <w:lastRenderedPageBreak/>
              <w:t xml:space="preserve">Europe bestimmt. Hiernach sind die Erlöse aus Fernleitungsentgelten durch die für das Kalenderjahr prognostizierten Kapazitäten der Ein- und Ausspeisepunkte zu dividieren. </w:t>
            </w:r>
          </w:p>
        </w:tc>
        <w:tc>
          <w:tcPr>
            <w:tcW w:w="1984" w:type="dxa"/>
          </w:tcPr>
          <w:p w14:paraId="3EEF6CFB" w14:textId="77777777" w:rsidR="00040E3B" w:rsidRPr="00532D01" w:rsidRDefault="00040E3B" w:rsidP="00040E3B">
            <w:pPr>
              <w:rPr>
                <w:sz w:val="20"/>
                <w:szCs w:val="20"/>
                <w:lang w:val="en-GB"/>
              </w:rPr>
            </w:pPr>
            <w:r w:rsidRPr="00532D01">
              <w:rPr>
                <w:sz w:val="20"/>
                <w:szCs w:val="20"/>
                <w:lang w:val="en-GB"/>
              </w:rPr>
              <w:lastRenderedPageBreak/>
              <w:t xml:space="preserve">Information on transmission and non-transmission tariffs </w:t>
            </w:r>
            <w:r w:rsidRPr="00532D01">
              <w:rPr>
                <w:sz w:val="20"/>
                <w:szCs w:val="20"/>
                <w:lang w:val="en-GB"/>
              </w:rPr>
              <w:lastRenderedPageBreak/>
              <w:t>accompanied by the relevant information related to their derivation.</w:t>
            </w:r>
          </w:p>
        </w:tc>
        <w:tc>
          <w:tcPr>
            <w:tcW w:w="5103" w:type="dxa"/>
          </w:tcPr>
          <w:p w14:paraId="72B22B54" w14:textId="4ED325F9" w:rsidR="00040E3B" w:rsidRPr="00E60475" w:rsidRDefault="00040E3B" w:rsidP="00040E3B">
            <w:pPr>
              <w:rPr>
                <w:sz w:val="20"/>
                <w:szCs w:val="20"/>
                <w:lang w:val="en-US"/>
              </w:rPr>
            </w:pPr>
            <w:r w:rsidRPr="00E60475">
              <w:rPr>
                <w:sz w:val="20"/>
                <w:szCs w:val="20"/>
                <w:lang w:val="en-US"/>
              </w:rPr>
              <w:lastRenderedPageBreak/>
              <w:t xml:space="preserve">As part of the </w:t>
            </w:r>
            <w:hyperlink r:id="rId25" w:tgtFrame="_blank" w:history="1">
              <w:r w:rsidRPr="00E60475">
                <w:rPr>
                  <w:rStyle w:val="Hyperlink"/>
                  <w:sz w:val="20"/>
                  <w:szCs w:val="20"/>
                  <w:lang w:val="en-GB"/>
                </w:rPr>
                <w:t>REGENT 2021</w:t>
              </w:r>
            </w:hyperlink>
            <w:r w:rsidRPr="00E60475">
              <w:rPr>
                <w:sz w:val="20"/>
                <w:szCs w:val="20"/>
                <w:lang w:val="en-GB"/>
              </w:rPr>
              <w:t xml:space="preserve"> decision</w:t>
            </w:r>
            <w:r w:rsidRPr="00E60475">
              <w:rPr>
                <w:sz w:val="20"/>
                <w:szCs w:val="20"/>
                <w:lang w:val="en-US"/>
              </w:rPr>
              <w:t xml:space="preserve">, the Federal Network Agency has </w:t>
            </w:r>
            <w:r w:rsidRPr="00E60475">
              <w:rPr>
                <w:sz w:val="20"/>
                <w:szCs w:val="20"/>
                <w:lang w:val="en-GB"/>
              </w:rPr>
              <w:t xml:space="preserve">decided the application of the reference price methodology postage stamp in the entry-exit system </w:t>
            </w:r>
            <w:r w:rsidRPr="00E60475">
              <w:rPr>
                <w:sz w:val="20"/>
                <w:szCs w:val="20"/>
                <w:lang w:val="en-US"/>
              </w:rPr>
              <w:t xml:space="preserve">Trading </w:t>
            </w:r>
            <w:r w:rsidRPr="00E60475">
              <w:rPr>
                <w:sz w:val="20"/>
                <w:szCs w:val="20"/>
                <w:lang w:val="en-US"/>
              </w:rPr>
              <w:lastRenderedPageBreak/>
              <w:t xml:space="preserve">Hub Europe. According to this, </w:t>
            </w:r>
            <w:r w:rsidRPr="00E60475">
              <w:rPr>
                <w:sz w:val="20"/>
                <w:szCs w:val="20"/>
                <w:lang w:val="en-GB"/>
              </w:rPr>
              <w:t xml:space="preserve">the transmission service revenues are to be divided by the forecasted contracted capacities of the entry and exit points of </w:t>
            </w:r>
            <w:r w:rsidRPr="00E60475">
              <w:rPr>
                <w:sz w:val="20"/>
                <w:szCs w:val="20"/>
                <w:lang w:val="en-US"/>
              </w:rPr>
              <w:t>the calendar year.</w:t>
            </w:r>
            <w:r w:rsidRPr="00E60475">
              <w:rPr>
                <w:b/>
                <w:bCs/>
                <w:sz w:val="20"/>
                <w:szCs w:val="20"/>
                <w:lang w:val="en-US"/>
              </w:rPr>
              <w:t> </w:t>
            </w:r>
          </w:p>
        </w:tc>
      </w:tr>
      <w:tr w:rsidR="00040E3B" w:rsidRPr="000F6EE8" w14:paraId="65A5F13C" w14:textId="77777777" w:rsidTr="00387056">
        <w:tblPrEx>
          <w:tblCellMar>
            <w:left w:w="70" w:type="dxa"/>
            <w:right w:w="70" w:type="dxa"/>
          </w:tblCellMar>
        </w:tblPrEx>
        <w:tc>
          <w:tcPr>
            <w:tcW w:w="1161" w:type="dxa"/>
          </w:tcPr>
          <w:p w14:paraId="4467D332" w14:textId="3D035731" w:rsidR="00040E3B" w:rsidRPr="003F0E2F" w:rsidRDefault="00040E3B" w:rsidP="00040E3B">
            <w:pPr>
              <w:rPr>
                <w:b/>
                <w:bCs/>
                <w:color w:val="00A984"/>
                <w:sz w:val="20"/>
                <w:szCs w:val="20"/>
              </w:rPr>
            </w:pPr>
            <w:r w:rsidRPr="008631F7">
              <w:rPr>
                <w:b/>
                <w:bCs/>
                <w:color w:val="00A984"/>
                <w:sz w:val="20"/>
                <w:szCs w:val="20"/>
              </w:rPr>
              <w:lastRenderedPageBreak/>
              <w:t xml:space="preserve">Art. 30 (1) c) i) </w:t>
            </w:r>
          </w:p>
        </w:tc>
        <w:tc>
          <w:tcPr>
            <w:tcW w:w="2242" w:type="dxa"/>
          </w:tcPr>
          <w:p w14:paraId="5E1DF603" w14:textId="4434BB55" w:rsidR="00040E3B" w:rsidRPr="0053622B" w:rsidRDefault="00040E3B" w:rsidP="00040E3B">
            <w:pPr>
              <w:rPr>
                <w:sz w:val="20"/>
                <w:szCs w:val="20"/>
              </w:rPr>
            </w:pPr>
            <w:r w:rsidRPr="00972D9B">
              <w:t xml:space="preserve">soweit angewandt, Arbeitsentgelte gemäß Artikel 4 Absatz 3 </w:t>
            </w:r>
          </w:p>
        </w:tc>
        <w:tc>
          <w:tcPr>
            <w:tcW w:w="4394" w:type="dxa"/>
          </w:tcPr>
          <w:p w14:paraId="3E73AA8E" w14:textId="36037F20" w:rsidR="00040E3B" w:rsidRPr="00463656" w:rsidRDefault="00040E3B" w:rsidP="00040E3B">
            <w:pPr>
              <w:rPr>
                <w:sz w:val="20"/>
                <w:szCs w:val="20"/>
              </w:rPr>
            </w:pPr>
            <w:r w:rsidRPr="00972D9B">
              <w:t xml:space="preserve">GRTgaz Deutschland wendet keine Arbeitsentgelte an. </w:t>
            </w:r>
          </w:p>
        </w:tc>
        <w:tc>
          <w:tcPr>
            <w:tcW w:w="1984" w:type="dxa"/>
          </w:tcPr>
          <w:p w14:paraId="7662DEC7" w14:textId="66510C12" w:rsidR="00040E3B" w:rsidRPr="00C97345" w:rsidRDefault="00C97345" w:rsidP="00040E3B">
            <w:pPr>
              <w:rPr>
                <w:sz w:val="20"/>
                <w:szCs w:val="20"/>
                <w:lang w:val="en-US"/>
              </w:rPr>
            </w:pPr>
            <w:r w:rsidRPr="00C97345">
              <w:rPr>
                <w:sz w:val="20"/>
                <w:szCs w:val="20"/>
                <w:lang w:val="en-US"/>
              </w:rPr>
              <w:t>where applied, commodity-based transmission tariffs referred to in Article 4 (3)</w:t>
            </w:r>
          </w:p>
        </w:tc>
        <w:tc>
          <w:tcPr>
            <w:tcW w:w="5103" w:type="dxa"/>
          </w:tcPr>
          <w:p w14:paraId="4A09664A" w14:textId="5CAEE59A" w:rsidR="00040E3B" w:rsidRPr="00C97345" w:rsidRDefault="00C97345" w:rsidP="00040E3B">
            <w:pPr>
              <w:rPr>
                <w:sz w:val="20"/>
                <w:szCs w:val="20"/>
                <w:lang w:val="en-US"/>
              </w:rPr>
            </w:pPr>
            <w:r>
              <w:rPr>
                <w:sz w:val="20"/>
                <w:szCs w:val="20"/>
                <w:lang w:val="en-US"/>
              </w:rPr>
              <w:t>GRTgaz Deutschland</w:t>
            </w:r>
            <w:r w:rsidRPr="00C97345">
              <w:rPr>
                <w:sz w:val="20"/>
                <w:szCs w:val="20"/>
                <w:lang w:val="en-US"/>
              </w:rPr>
              <w:t xml:space="preserve"> does not apply commodity-based transmission tariffs.</w:t>
            </w:r>
          </w:p>
        </w:tc>
      </w:tr>
      <w:tr w:rsidR="00040E3B" w:rsidRPr="000F6EE8" w14:paraId="75BF7F30" w14:textId="77777777" w:rsidTr="00387056">
        <w:tblPrEx>
          <w:tblCellMar>
            <w:left w:w="70" w:type="dxa"/>
            <w:right w:w="70" w:type="dxa"/>
          </w:tblCellMar>
        </w:tblPrEx>
        <w:tc>
          <w:tcPr>
            <w:tcW w:w="1161" w:type="dxa"/>
          </w:tcPr>
          <w:p w14:paraId="35C41888" w14:textId="3F30C0E6" w:rsidR="00040E3B" w:rsidRPr="003F0E2F" w:rsidRDefault="00040E3B" w:rsidP="00040E3B">
            <w:pPr>
              <w:rPr>
                <w:b/>
                <w:bCs/>
                <w:color w:val="00A984"/>
                <w:sz w:val="20"/>
                <w:szCs w:val="20"/>
              </w:rPr>
            </w:pPr>
            <w:r w:rsidRPr="008631F7">
              <w:rPr>
                <w:b/>
                <w:bCs/>
                <w:color w:val="00A984"/>
                <w:sz w:val="20"/>
                <w:szCs w:val="20"/>
              </w:rPr>
              <w:t xml:space="preserve">Art. 30 (1) c) ii) </w:t>
            </w:r>
          </w:p>
        </w:tc>
        <w:tc>
          <w:tcPr>
            <w:tcW w:w="2242" w:type="dxa"/>
          </w:tcPr>
          <w:p w14:paraId="3EEDF412" w14:textId="4C64FBF7" w:rsidR="00040E3B" w:rsidRPr="0053622B" w:rsidRDefault="00040E3B" w:rsidP="00040E3B">
            <w:pPr>
              <w:rPr>
                <w:sz w:val="20"/>
                <w:szCs w:val="20"/>
              </w:rPr>
            </w:pPr>
            <w:r w:rsidRPr="00972D9B">
              <w:t xml:space="preserve">soweit angewandt, Systemdienstleistungsentgelte für Systemdienstleistungen gemäß Artikel 4 Absatz 4 </w:t>
            </w:r>
          </w:p>
        </w:tc>
        <w:tc>
          <w:tcPr>
            <w:tcW w:w="4394" w:type="dxa"/>
          </w:tcPr>
          <w:p w14:paraId="446DD8E7" w14:textId="77777777" w:rsidR="00040E3B" w:rsidRDefault="00040E3B" w:rsidP="00040E3B">
            <w:r w:rsidRPr="00972D9B">
              <w:t xml:space="preserve">Zu den Systemdienstleistungen gem. Beschluss der Bundesnetzagentur BK9-17/609 (Festlegung INKA) zählen der Messstellenbetrieb, die Messdienstleistung, die Biogasumlage nach §20b GasNEV, die Marktraumumstellungslage nach §19a Abs. 1 EnWG sowie das Nominierungsersatzverfahren nach §15 Abs. 3 GasNZV. Die Tarife für die Systemdienstleistungen mit Gültigkeit ab dem 01.01.2024 finden sich in den veröffentlichten Preisblättern. </w:t>
            </w:r>
          </w:p>
          <w:p w14:paraId="20DC3B93" w14:textId="77777777" w:rsidR="003D6FE6" w:rsidRDefault="003D6FE6" w:rsidP="00040E3B">
            <w:pPr>
              <w:rPr>
                <w:sz w:val="20"/>
                <w:szCs w:val="20"/>
              </w:rPr>
            </w:pPr>
          </w:p>
          <w:p w14:paraId="12DF3118" w14:textId="77777777" w:rsidR="008D0A09" w:rsidRPr="008D0A09" w:rsidRDefault="008D0A09" w:rsidP="008D0A09">
            <w:pPr>
              <w:rPr>
                <w:b/>
                <w:bCs/>
                <w:sz w:val="20"/>
                <w:szCs w:val="20"/>
              </w:rPr>
            </w:pPr>
            <w:r w:rsidRPr="008D0A09">
              <w:rPr>
                <w:sz w:val="20"/>
                <w:szCs w:val="20"/>
                <w:u w:val="single"/>
              </w:rPr>
              <w:t>Berechnung Biogasumlage</w:t>
            </w:r>
            <w:r w:rsidRPr="008D0A09">
              <w:rPr>
                <w:b/>
                <w:bCs/>
                <w:sz w:val="20"/>
                <w:szCs w:val="20"/>
              </w:rPr>
              <w:t> </w:t>
            </w:r>
          </w:p>
          <w:p w14:paraId="176B0FE8" w14:textId="2D686DCD" w:rsidR="008D0A09" w:rsidRPr="008D0A09" w:rsidRDefault="008D0A09" w:rsidP="008D0A09">
            <w:pPr>
              <w:rPr>
                <w:b/>
                <w:bCs/>
                <w:sz w:val="20"/>
                <w:szCs w:val="20"/>
              </w:rPr>
            </w:pPr>
            <w:r w:rsidRPr="008D0A09">
              <w:rPr>
                <w:sz w:val="20"/>
                <w:szCs w:val="20"/>
              </w:rPr>
              <w:t xml:space="preserve">Nach Tenorziffer 6 der Festlegung REGENT 2021 ist die Biogasumlage nach § 20b GasNEV als Systemdienstleistung eingeordnet. Die Berechnung der Biogasumlage ist ebenfalls dort und in § 7 der Kooperationsvereinbarung zwischen den Betreibern von in Deutschland gelegenen Gasversorgungsnetzen vom </w:t>
            </w:r>
            <w:r w:rsidR="00CA57D2">
              <w:rPr>
                <w:sz w:val="20"/>
                <w:szCs w:val="20"/>
              </w:rPr>
              <w:t>22.0</w:t>
            </w:r>
            <w:r w:rsidR="00D465CB">
              <w:rPr>
                <w:sz w:val="20"/>
                <w:szCs w:val="20"/>
              </w:rPr>
              <w:t>3.2024</w:t>
            </w:r>
            <w:r w:rsidRPr="008D0A09">
              <w:rPr>
                <w:sz w:val="20"/>
                <w:szCs w:val="20"/>
              </w:rPr>
              <w:t xml:space="preserve"> beschrieben. Hiernach werden die bundesweiten Biogas-Gesamtkosten des Jahres 202</w:t>
            </w:r>
            <w:r w:rsidR="00D465CB">
              <w:rPr>
                <w:sz w:val="20"/>
                <w:szCs w:val="20"/>
              </w:rPr>
              <w:t>5</w:t>
            </w:r>
            <w:r w:rsidRPr="008D0A09">
              <w:rPr>
                <w:sz w:val="20"/>
                <w:szCs w:val="20"/>
              </w:rPr>
              <w:t xml:space="preserve"> in Höhe von </w:t>
            </w:r>
            <w:r w:rsidR="00D465CB">
              <w:rPr>
                <w:sz w:val="20"/>
                <w:szCs w:val="20"/>
              </w:rPr>
              <w:t>303,1</w:t>
            </w:r>
            <w:r w:rsidRPr="008D0A09">
              <w:rPr>
                <w:sz w:val="20"/>
                <w:szCs w:val="20"/>
              </w:rPr>
              <w:t xml:space="preserve">Mio. € durch die bundesweit bei Fernleitungsnetzbetreibern gebuchte bzw. bestellte </w:t>
            </w:r>
            <w:r w:rsidRPr="008D0A09">
              <w:rPr>
                <w:sz w:val="20"/>
                <w:szCs w:val="20"/>
              </w:rPr>
              <w:lastRenderedPageBreak/>
              <w:t>Kapazität an Netzanschlusspunkten zu Letztverbrauchern und Netzkopplungspunkten zu nachgelagerten Netzbetreibern ohne Beachtung von Multiplikatoren oder saisonalen Faktoren des Jahres 202</w:t>
            </w:r>
            <w:r w:rsidR="00244045">
              <w:rPr>
                <w:sz w:val="20"/>
                <w:szCs w:val="20"/>
              </w:rPr>
              <w:t>5</w:t>
            </w:r>
            <w:r w:rsidRPr="008D0A09">
              <w:rPr>
                <w:sz w:val="20"/>
                <w:szCs w:val="20"/>
              </w:rPr>
              <w:t xml:space="preserve"> in Höhe von </w:t>
            </w:r>
            <w:r w:rsidR="00244045" w:rsidRPr="00244045">
              <w:rPr>
                <w:sz w:val="20"/>
                <w:szCs w:val="20"/>
              </w:rPr>
              <w:t>287,526,485</w:t>
            </w:r>
            <w:r w:rsidR="00244045" w:rsidRPr="00244045">
              <w:rPr>
                <w:rFonts w:ascii="Arial" w:hAnsi="Arial" w:cs="Arial"/>
                <w:color w:val="000000" w:themeColor="text1"/>
              </w:rPr>
              <w:t xml:space="preserve"> </w:t>
            </w:r>
            <w:r w:rsidRPr="008D0A09">
              <w:rPr>
                <w:sz w:val="20"/>
                <w:szCs w:val="20"/>
              </w:rPr>
              <w:t xml:space="preserve">(kWh/h)/a geteilt. Hieraus ergibt sich eine Biogasumlage in Höhe von </w:t>
            </w:r>
            <w:r w:rsidR="001E491B" w:rsidRPr="001E491B">
              <w:rPr>
                <w:sz w:val="20"/>
                <w:szCs w:val="20"/>
              </w:rPr>
              <w:t>1.0542</w:t>
            </w:r>
            <w:r w:rsidRPr="008D0A09">
              <w:rPr>
                <w:sz w:val="20"/>
                <w:szCs w:val="20"/>
              </w:rPr>
              <w:t>€/(kWh/h)/a.</w:t>
            </w:r>
            <w:r w:rsidRPr="008D0A09">
              <w:rPr>
                <w:b/>
                <w:bCs/>
                <w:sz w:val="20"/>
                <w:szCs w:val="20"/>
              </w:rPr>
              <w:t> </w:t>
            </w:r>
          </w:p>
          <w:p w14:paraId="014DF4E0" w14:textId="77777777" w:rsidR="008D0A09" w:rsidRPr="008D0A09" w:rsidRDefault="008D0A09" w:rsidP="008D0A09">
            <w:pPr>
              <w:rPr>
                <w:b/>
                <w:bCs/>
                <w:sz w:val="20"/>
                <w:szCs w:val="20"/>
              </w:rPr>
            </w:pPr>
            <w:r w:rsidRPr="008D0A09">
              <w:rPr>
                <w:b/>
                <w:bCs/>
                <w:sz w:val="20"/>
                <w:szCs w:val="20"/>
              </w:rPr>
              <w:t> </w:t>
            </w:r>
          </w:p>
          <w:p w14:paraId="26B7F4B1" w14:textId="77777777" w:rsidR="008D0A09" w:rsidRPr="008D0A09" w:rsidRDefault="008D0A09" w:rsidP="008D0A09">
            <w:pPr>
              <w:rPr>
                <w:b/>
                <w:bCs/>
                <w:sz w:val="20"/>
                <w:szCs w:val="20"/>
              </w:rPr>
            </w:pPr>
            <w:r w:rsidRPr="008D0A09">
              <w:rPr>
                <w:sz w:val="20"/>
                <w:szCs w:val="20"/>
                <w:u w:val="single"/>
              </w:rPr>
              <w:t>Berechnung Marktraumumstellungsumlage</w:t>
            </w:r>
            <w:r w:rsidRPr="008D0A09">
              <w:rPr>
                <w:b/>
                <w:bCs/>
                <w:sz w:val="20"/>
                <w:szCs w:val="20"/>
              </w:rPr>
              <w:t> </w:t>
            </w:r>
          </w:p>
          <w:p w14:paraId="7A32F06E" w14:textId="6E617648" w:rsidR="008D0A09" w:rsidRPr="008D0A09" w:rsidRDefault="008D0A09" w:rsidP="008D0A09">
            <w:pPr>
              <w:rPr>
                <w:b/>
                <w:bCs/>
                <w:sz w:val="20"/>
                <w:szCs w:val="20"/>
              </w:rPr>
            </w:pPr>
            <w:r w:rsidRPr="008D0A09">
              <w:rPr>
                <w:sz w:val="20"/>
                <w:szCs w:val="20"/>
              </w:rPr>
              <w:t xml:space="preserve">Nach Tenorziffer 5 der Festlegung REGENT 2021 ist die Marktraumumstellungsumlage nach § 19a Abs. 1 EnWG als Systemdienstleistung eingeordnet. Die Berechnung der Marktraumumstellungsumlage ist ebenso dort und in § 10 der Kooperationsvereinbarung zwischen den Betreibern von in Deutschland gelegenen Gasversorgungsnetzen vom </w:t>
            </w:r>
            <w:r w:rsidR="00BB4E2D">
              <w:rPr>
                <w:sz w:val="20"/>
                <w:szCs w:val="20"/>
              </w:rPr>
              <w:t>22</w:t>
            </w:r>
            <w:r w:rsidRPr="008D0A09">
              <w:rPr>
                <w:sz w:val="20"/>
                <w:szCs w:val="20"/>
              </w:rPr>
              <w:t>.0</w:t>
            </w:r>
            <w:r w:rsidR="00BB4E2D">
              <w:rPr>
                <w:sz w:val="20"/>
                <w:szCs w:val="20"/>
              </w:rPr>
              <w:t>3</w:t>
            </w:r>
            <w:r w:rsidRPr="008D0A09">
              <w:rPr>
                <w:sz w:val="20"/>
                <w:szCs w:val="20"/>
              </w:rPr>
              <w:t>.202</w:t>
            </w:r>
            <w:r w:rsidR="00BB4E2D">
              <w:rPr>
                <w:sz w:val="20"/>
                <w:szCs w:val="20"/>
              </w:rPr>
              <w:t>4</w:t>
            </w:r>
            <w:r w:rsidRPr="008D0A09">
              <w:rPr>
                <w:sz w:val="20"/>
                <w:szCs w:val="20"/>
              </w:rPr>
              <w:t xml:space="preserve"> beschrieben. Hiernach werden die bundesweiten Umstellungskosten des Jahres 2024 in Höhe von 203,9 Mio. € durch die bundesweit bei Fernleitungsnetzbetreibern gebuchte bzw. bestellte Kapazität an Netzanschlusspunkten zu Letztverbrauchern und Netzkopplungspunkten zu nachgelagerten Netzbetreibern ohne Beachtung von Multiplikatoren oder saisonalen Faktoren des Jahres 202</w:t>
            </w:r>
            <w:r w:rsidR="00A626F6">
              <w:rPr>
                <w:sz w:val="20"/>
                <w:szCs w:val="20"/>
              </w:rPr>
              <w:t>5</w:t>
            </w:r>
            <w:r w:rsidRPr="008D0A09">
              <w:rPr>
                <w:sz w:val="20"/>
                <w:szCs w:val="20"/>
              </w:rPr>
              <w:t xml:space="preserve"> in Höhe von </w:t>
            </w:r>
            <w:r w:rsidR="00723700" w:rsidRPr="00723700">
              <w:rPr>
                <w:sz w:val="20"/>
                <w:szCs w:val="20"/>
              </w:rPr>
              <w:t>287,526,485</w:t>
            </w:r>
            <w:r w:rsidR="00723700" w:rsidRPr="008D0A09">
              <w:rPr>
                <w:sz w:val="20"/>
                <w:szCs w:val="20"/>
              </w:rPr>
              <w:t xml:space="preserve"> </w:t>
            </w:r>
            <w:r w:rsidRPr="008D0A09">
              <w:rPr>
                <w:sz w:val="20"/>
                <w:szCs w:val="20"/>
              </w:rPr>
              <w:t>(kWh/h)/a geteilt. Hieraus ergibt sich eine Marktraumumstellungsumlage in Höhe von 0,671</w:t>
            </w:r>
            <w:r w:rsidR="00FC7C41">
              <w:rPr>
                <w:sz w:val="20"/>
                <w:szCs w:val="20"/>
              </w:rPr>
              <w:t>3</w:t>
            </w:r>
            <w:r w:rsidRPr="008D0A09">
              <w:rPr>
                <w:sz w:val="20"/>
                <w:szCs w:val="20"/>
              </w:rPr>
              <w:t xml:space="preserve"> €/(kWh/h)/a.</w:t>
            </w:r>
            <w:r w:rsidRPr="008D0A09">
              <w:rPr>
                <w:b/>
                <w:bCs/>
                <w:sz w:val="20"/>
                <w:szCs w:val="20"/>
              </w:rPr>
              <w:t> </w:t>
            </w:r>
          </w:p>
          <w:p w14:paraId="49B92823" w14:textId="59230659" w:rsidR="003D6FE6" w:rsidRPr="00463656" w:rsidRDefault="003D6FE6" w:rsidP="00040E3B">
            <w:pPr>
              <w:rPr>
                <w:sz w:val="20"/>
                <w:szCs w:val="20"/>
              </w:rPr>
            </w:pPr>
          </w:p>
        </w:tc>
        <w:tc>
          <w:tcPr>
            <w:tcW w:w="1984" w:type="dxa"/>
          </w:tcPr>
          <w:p w14:paraId="5F459922" w14:textId="1E8D9DA7" w:rsidR="00040E3B" w:rsidRPr="006E2DCF" w:rsidRDefault="006E2DCF" w:rsidP="00040E3B">
            <w:pPr>
              <w:rPr>
                <w:sz w:val="20"/>
                <w:szCs w:val="20"/>
                <w:lang w:val="en-US"/>
              </w:rPr>
            </w:pPr>
            <w:r w:rsidRPr="006E2DCF">
              <w:rPr>
                <w:sz w:val="20"/>
                <w:szCs w:val="20"/>
                <w:lang w:val="en-US"/>
              </w:rPr>
              <w:lastRenderedPageBreak/>
              <w:t>where applied, non-transmission tariffs for non-transmission services referred to in Article 4 (4)</w:t>
            </w:r>
          </w:p>
        </w:tc>
        <w:tc>
          <w:tcPr>
            <w:tcW w:w="5103" w:type="dxa"/>
          </w:tcPr>
          <w:p w14:paraId="032A473F" w14:textId="630C9749" w:rsidR="00040E3B" w:rsidRDefault="00D8776B" w:rsidP="00040E3B">
            <w:pPr>
              <w:rPr>
                <w:sz w:val="20"/>
                <w:szCs w:val="20"/>
                <w:lang w:val="en-US"/>
              </w:rPr>
            </w:pPr>
            <w:r w:rsidRPr="00D8776B">
              <w:rPr>
                <w:sz w:val="20"/>
                <w:szCs w:val="20"/>
                <w:lang w:val="en-US"/>
              </w:rPr>
              <w:t>According to the decision of the FNA (BK9-17/609 (Festlegung ‘INKA’), the non-transmission services are set to metering point operation, metering service, biogas levy according to §20b GasNEV, market area conversion levy according to §19a Abs. 1 EnWG as well as the nomination replacement procedure according to §15 Abs. 3 GasNZV. The non-transmission service fees valid as of 01.01.202</w:t>
            </w:r>
            <w:r w:rsidR="00473951">
              <w:rPr>
                <w:sz w:val="20"/>
                <w:szCs w:val="20"/>
                <w:lang w:val="en-US"/>
              </w:rPr>
              <w:t>5</w:t>
            </w:r>
            <w:r w:rsidRPr="00D8776B">
              <w:rPr>
                <w:sz w:val="20"/>
                <w:szCs w:val="20"/>
                <w:lang w:val="en-US"/>
              </w:rPr>
              <w:t xml:space="preserve"> are published in the price sheets on the website of </w:t>
            </w:r>
            <w:r w:rsidR="00473951">
              <w:rPr>
                <w:sz w:val="20"/>
                <w:szCs w:val="20"/>
                <w:lang w:val="en-US"/>
              </w:rPr>
              <w:t>GRTgqy Deutschland</w:t>
            </w:r>
            <w:r w:rsidRPr="00D8776B">
              <w:rPr>
                <w:sz w:val="20"/>
                <w:szCs w:val="20"/>
                <w:lang w:val="en-US"/>
              </w:rPr>
              <w:t>.</w:t>
            </w:r>
          </w:p>
          <w:p w14:paraId="65D00354" w14:textId="77777777" w:rsidR="003D6FE6" w:rsidRDefault="003D6FE6" w:rsidP="00040E3B">
            <w:pPr>
              <w:rPr>
                <w:sz w:val="20"/>
                <w:szCs w:val="20"/>
                <w:lang w:val="en-US"/>
              </w:rPr>
            </w:pPr>
          </w:p>
          <w:p w14:paraId="6B72ED22" w14:textId="089A5931" w:rsidR="003D6FE6" w:rsidRPr="00656427" w:rsidRDefault="003D6FE6" w:rsidP="003D6FE6">
            <w:pPr>
              <w:pStyle w:val="paragraph"/>
              <w:spacing w:before="0" w:beforeAutospacing="0" w:after="0" w:afterAutospacing="0"/>
              <w:jc w:val="both"/>
              <w:textAlignment w:val="baseline"/>
              <w:rPr>
                <w:rFonts w:asciiTheme="minorHAnsi" w:eastAsiaTheme="minorHAnsi" w:hAnsiTheme="minorHAnsi" w:cstheme="minorBidi"/>
                <w:sz w:val="20"/>
                <w:szCs w:val="20"/>
                <w:u w:val="single"/>
                <w:lang w:val="en-US" w:eastAsia="en-US"/>
              </w:rPr>
            </w:pPr>
            <w:r w:rsidRPr="00A76E14">
              <w:rPr>
                <w:rFonts w:asciiTheme="minorHAnsi" w:eastAsiaTheme="minorHAnsi" w:hAnsiTheme="minorHAnsi" w:cstheme="minorBidi"/>
                <w:sz w:val="20"/>
                <w:szCs w:val="20"/>
                <w:u w:val="single"/>
                <w:lang w:val="en-US" w:eastAsia="en-US"/>
              </w:rPr>
              <w:t>Biogas levy calculaction</w:t>
            </w:r>
            <w:r w:rsidRPr="00656427">
              <w:rPr>
                <w:rFonts w:asciiTheme="minorHAnsi" w:eastAsiaTheme="minorHAnsi" w:hAnsiTheme="minorHAnsi" w:cstheme="minorBidi"/>
                <w:sz w:val="20"/>
                <w:szCs w:val="20"/>
                <w:u w:val="single"/>
                <w:lang w:val="en-US" w:eastAsia="en-US"/>
              </w:rPr>
              <w:t> </w:t>
            </w:r>
          </w:p>
          <w:p w14:paraId="33000F8A" w14:textId="6096D3E9" w:rsidR="003D6FE6" w:rsidRPr="003D6FE6" w:rsidRDefault="003D6FE6" w:rsidP="003D6FE6">
            <w:pPr>
              <w:pStyle w:val="paragraph"/>
              <w:spacing w:before="0" w:beforeAutospacing="0" w:after="0" w:afterAutospacing="0"/>
              <w:jc w:val="both"/>
              <w:textAlignment w:val="baseline"/>
              <w:rPr>
                <w:rFonts w:asciiTheme="minorHAnsi" w:eastAsiaTheme="minorHAnsi" w:hAnsiTheme="minorHAnsi" w:cstheme="minorBidi"/>
                <w:sz w:val="20"/>
                <w:szCs w:val="20"/>
                <w:lang w:val="en-US" w:eastAsia="en-US"/>
              </w:rPr>
            </w:pPr>
            <w:r w:rsidRPr="00A76E14">
              <w:rPr>
                <w:rFonts w:asciiTheme="minorHAnsi" w:eastAsiaTheme="minorHAnsi" w:hAnsiTheme="minorHAnsi" w:cstheme="minorBidi"/>
                <w:sz w:val="20"/>
                <w:szCs w:val="20"/>
                <w:lang w:val="en-US" w:eastAsia="en-US"/>
              </w:rPr>
              <w:t xml:space="preserve">According to article 6 of the </w:t>
            </w:r>
            <w:hyperlink r:id="rId26" w:tgtFrame="_blank" w:history="1">
              <w:r w:rsidRPr="003D6FE6">
                <w:rPr>
                  <w:rFonts w:asciiTheme="minorHAnsi" w:eastAsiaTheme="minorHAnsi" w:hAnsiTheme="minorHAnsi" w:cstheme="minorBidi"/>
                  <w:sz w:val="20"/>
                  <w:szCs w:val="20"/>
                  <w:lang w:val="en-US" w:eastAsia="en-US"/>
                </w:rPr>
                <w:t>REGENT 2021</w:t>
              </w:r>
            </w:hyperlink>
            <w:r w:rsidRPr="003D6FE6">
              <w:rPr>
                <w:rFonts w:asciiTheme="minorHAnsi" w:eastAsiaTheme="minorHAnsi" w:hAnsiTheme="minorHAnsi" w:cstheme="minorBidi"/>
                <w:sz w:val="20"/>
                <w:szCs w:val="20"/>
                <w:lang w:val="en-US" w:eastAsia="en-US"/>
              </w:rPr>
              <w:t xml:space="preserve"> </w:t>
            </w:r>
            <w:r w:rsidRPr="00A76E14">
              <w:rPr>
                <w:rFonts w:asciiTheme="minorHAnsi" w:eastAsiaTheme="minorHAnsi" w:hAnsiTheme="minorHAnsi" w:cstheme="minorBidi"/>
                <w:sz w:val="20"/>
                <w:szCs w:val="20"/>
                <w:lang w:val="en-US" w:eastAsia="en-US"/>
              </w:rPr>
              <w:t xml:space="preserve">decision, the biogas levy is classified as a system service according to § 20b GasNEV. The calculation of the biogas levy is described there as well as in § 7 of the cooperation agreement between the operators of gas supply networks located in Germany from </w:t>
            </w:r>
            <w:r w:rsidR="009B55D3" w:rsidRPr="009B55D3">
              <w:rPr>
                <w:rFonts w:asciiTheme="minorHAnsi" w:eastAsiaTheme="minorHAnsi" w:hAnsiTheme="minorHAnsi" w:cstheme="minorBidi"/>
                <w:sz w:val="20"/>
                <w:szCs w:val="20"/>
                <w:lang w:val="en-US" w:eastAsia="en-US"/>
              </w:rPr>
              <w:t>22.03.2024</w:t>
            </w:r>
            <w:r w:rsidRPr="00A76E14">
              <w:rPr>
                <w:rFonts w:asciiTheme="minorHAnsi" w:eastAsiaTheme="minorHAnsi" w:hAnsiTheme="minorHAnsi" w:cstheme="minorBidi"/>
                <w:sz w:val="20"/>
                <w:szCs w:val="20"/>
                <w:lang w:val="en-US" w:eastAsia="en-US"/>
              </w:rPr>
              <w:t>. According to this, the nationwide total biogas costs of 202</w:t>
            </w:r>
            <w:r w:rsidR="002D00E5">
              <w:rPr>
                <w:rFonts w:asciiTheme="minorHAnsi" w:eastAsiaTheme="minorHAnsi" w:hAnsiTheme="minorHAnsi" w:cstheme="minorBidi"/>
                <w:sz w:val="20"/>
                <w:szCs w:val="20"/>
                <w:lang w:val="en-US" w:eastAsia="en-US"/>
              </w:rPr>
              <w:t>5</w:t>
            </w:r>
            <w:r w:rsidRPr="00A76E14">
              <w:rPr>
                <w:rFonts w:asciiTheme="minorHAnsi" w:eastAsiaTheme="minorHAnsi" w:hAnsiTheme="minorHAnsi" w:cstheme="minorBidi"/>
                <w:sz w:val="20"/>
                <w:szCs w:val="20"/>
                <w:lang w:val="en-US" w:eastAsia="en-US"/>
              </w:rPr>
              <w:t xml:space="preserve"> amounting to </w:t>
            </w:r>
            <w:r w:rsidR="002D00E5">
              <w:rPr>
                <w:rFonts w:asciiTheme="minorHAnsi" w:eastAsiaTheme="minorHAnsi" w:hAnsiTheme="minorHAnsi" w:cstheme="minorBidi"/>
                <w:sz w:val="20"/>
                <w:szCs w:val="20"/>
                <w:lang w:val="en-US" w:eastAsia="en-US"/>
              </w:rPr>
              <w:t>303.1</w:t>
            </w:r>
            <w:r w:rsidRPr="00A76E14">
              <w:rPr>
                <w:rFonts w:asciiTheme="minorHAnsi" w:eastAsiaTheme="minorHAnsi" w:hAnsiTheme="minorHAnsi" w:cstheme="minorBidi"/>
                <w:sz w:val="20"/>
                <w:szCs w:val="20"/>
                <w:lang w:val="en-US" w:eastAsia="en-US"/>
              </w:rPr>
              <w:t xml:space="preserve"> million € are divided by the nationwide capacity booked or rather ordered from transmission system operators at network connection points to final consumers and grid connection points to downstream network operators, regardless of multipliers or seasonal factors of the year 202</w:t>
            </w:r>
            <w:r w:rsidR="00D465CB">
              <w:rPr>
                <w:rFonts w:asciiTheme="minorHAnsi" w:eastAsiaTheme="minorHAnsi" w:hAnsiTheme="minorHAnsi" w:cstheme="minorBidi"/>
                <w:sz w:val="20"/>
                <w:szCs w:val="20"/>
                <w:lang w:val="en-US" w:eastAsia="en-US"/>
              </w:rPr>
              <w:t>5</w:t>
            </w:r>
            <w:r w:rsidRPr="00A76E14">
              <w:rPr>
                <w:rFonts w:asciiTheme="minorHAnsi" w:eastAsiaTheme="minorHAnsi" w:hAnsiTheme="minorHAnsi" w:cstheme="minorBidi"/>
                <w:sz w:val="20"/>
                <w:szCs w:val="20"/>
                <w:lang w:val="en-US" w:eastAsia="en-US"/>
              </w:rPr>
              <w:t xml:space="preserve">, amounting to </w:t>
            </w:r>
            <w:r w:rsidR="00244045" w:rsidRPr="00244045">
              <w:rPr>
                <w:rFonts w:asciiTheme="minorHAnsi" w:eastAsiaTheme="minorHAnsi" w:hAnsiTheme="minorHAnsi" w:cstheme="minorBidi"/>
                <w:sz w:val="20"/>
                <w:szCs w:val="20"/>
                <w:lang w:val="en-US" w:eastAsia="en-US"/>
              </w:rPr>
              <w:t xml:space="preserve">287,526,485 </w:t>
            </w:r>
            <w:r w:rsidRPr="00A76E14">
              <w:rPr>
                <w:rFonts w:asciiTheme="minorHAnsi" w:eastAsiaTheme="minorHAnsi" w:hAnsiTheme="minorHAnsi" w:cstheme="minorBidi"/>
                <w:sz w:val="20"/>
                <w:szCs w:val="20"/>
                <w:lang w:val="en-US" w:eastAsia="en-US"/>
              </w:rPr>
              <w:t xml:space="preserve">(kWh/h)/a. This results in a biogas levy of </w:t>
            </w:r>
            <w:r w:rsidR="001E491B" w:rsidRPr="001E491B">
              <w:rPr>
                <w:rFonts w:asciiTheme="minorHAnsi" w:eastAsiaTheme="minorHAnsi" w:hAnsiTheme="minorHAnsi" w:cstheme="minorBidi"/>
                <w:sz w:val="20"/>
                <w:szCs w:val="20"/>
                <w:lang w:eastAsia="en-US"/>
              </w:rPr>
              <w:t>1.0542</w:t>
            </w:r>
            <w:r w:rsidRPr="001E491B">
              <w:rPr>
                <w:rFonts w:asciiTheme="minorHAnsi" w:eastAsiaTheme="minorHAnsi" w:hAnsiTheme="minorHAnsi" w:cstheme="minorBidi"/>
                <w:sz w:val="20"/>
                <w:szCs w:val="20"/>
                <w:lang w:eastAsia="en-US"/>
              </w:rPr>
              <w:t>€/(kWh</w:t>
            </w:r>
            <w:r w:rsidRPr="00A76E14">
              <w:rPr>
                <w:rFonts w:asciiTheme="minorHAnsi" w:eastAsiaTheme="minorHAnsi" w:hAnsiTheme="minorHAnsi" w:cstheme="minorBidi"/>
                <w:sz w:val="20"/>
                <w:szCs w:val="20"/>
                <w:lang w:val="en-US" w:eastAsia="en-US"/>
              </w:rPr>
              <w:t>/h)/a.</w:t>
            </w:r>
            <w:r w:rsidRPr="003D6FE6">
              <w:rPr>
                <w:rFonts w:asciiTheme="minorHAnsi" w:eastAsiaTheme="minorHAnsi" w:hAnsiTheme="minorHAnsi" w:cstheme="minorBidi"/>
                <w:sz w:val="20"/>
                <w:szCs w:val="20"/>
                <w:lang w:val="en-US" w:eastAsia="en-US"/>
              </w:rPr>
              <w:t> </w:t>
            </w:r>
          </w:p>
          <w:p w14:paraId="2460E10C" w14:textId="77777777" w:rsidR="003D6FE6" w:rsidRPr="003D6FE6" w:rsidRDefault="003D6FE6" w:rsidP="003D6FE6">
            <w:pPr>
              <w:pStyle w:val="paragraph"/>
              <w:spacing w:before="0" w:beforeAutospacing="0" w:after="0" w:afterAutospacing="0"/>
              <w:jc w:val="both"/>
              <w:textAlignment w:val="baseline"/>
              <w:rPr>
                <w:rFonts w:asciiTheme="minorHAnsi" w:eastAsiaTheme="minorHAnsi" w:hAnsiTheme="minorHAnsi" w:cstheme="minorBidi"/>
                <w:sz w:val="20"/>
                <w:szCs w:val="20"/>
                <w:lang w:val="en-US" w:eastAsia="en-US"/>
              </w:rPr>
            </w:pPr>
            <w:r w:rsidRPr="003D6FE6">
              <w:rPr>
                <w:rFonts w:asciiTheme="minorHAnsi" w:eastAsiaTheme="minorHAnsi" w:hAnsiTheme="minorHAnsi" w:cstheme="minorBidi"/>
                <w:sz w:val="20"/>
                <w:szCs w:val="20"/>
                <w:lang w:val="en-US" w:eastAsia="en-US"/>
              </w:rPr>
              <w:lastRenderedPageBreak/>
              <w:t> </w:t>
            </w:r>
          </w:p>
          <w:p w14:paraId="33A660E0" w14:textId="77777777" w:rsidR="003D6FE6" w:rsidRPr="00656427" w:rsidRDefault="003D6FE6" w:rsidP="003D6FE6">
            <w:pPr>
              <w:pStyle w:val="paragraph"/>
              <w:spacing w:before="0" w:beforeAutospacing="0" w:after="0" w:afterAutospacing="0"/>
              <w:jc w:val="both"/>
              <w:textAlignment w:val="baseline"/>
              <w:rPr>
                <w:rFonts w:asciiTheme="minorHAnsi" w:eastAsiaTheme="minorHAnsi" w:hAnsiTheme="minorHAnsi" w:cstheme="minorBidi"/>
                <w:sz w:val="20"/>
                <w:szCs w:val="20"/>
                <w:u w:val="single"/>
                <w:lang w:val="en-US" w:eastAsia="en-US"/>
              </w:rPr>
            </w:pPr>
            <w:r w:rsidRPr="00A76E14">
              <w:rPr>
                <w:rFonts w:asciiTheme="minorHAnsi" w:eastAsiaTheme="minorHAnsi" w:hAnsiTheme="minorHAnsi" w:cstheme="minorBidi"/>
                <w:sz w:val="20"/>
                <w:szCs w:val="20"/>
                <w:u w:val="single"/>
                <w:lang w:val="en-US" w:eastAsia="en-US"/>
              </w:rPr>
              <w:t>Market area conversion levy calculation</w:t>
            </w:r>
            <w:r w:rsidRPr="00656427">
              <w:rPr>
                <w:rFonts w:asciiTheme="minorHAnsi" w:eastAsiaTheme="minorHAnsi" w:hAnsiTheme="minorHAnsi" w:cstheme="minorBidi"/>
                <w:sz w:val="20"/>
                <w:szCs w:val="20"/>
                <w:u w:val="single"/>
                <w:lang w:val="en-US" w:eastAsia="en-US"/>
              </w:rPr>
              <w:t> </w:t>
            </w:r>
          </w:p>
          <w:p w14:paraId="4E9626C3" w14:textId="5FE38D04" w:rsidR="003D6FE6" w:rsidRPr="00A76E14" w:rsidRDefault="003D6FE6" w:rsidP="003D6FE6">
            <w:pPr>
              <w:pStyle w:val="paragraph"/>
              <w:spacing w:before="0" w:beforeAutospacing="0" w:after="0" w:afterAutospacing="0"/>
              <w:textAlignment w:val="baseline"/>
              <w:rPr>
                <w:rFonts w:asciiTheme="minorHAnsi" w:eastAsiaTheme="minorHAnsi" w:hAnsiTheme="minorHAnsi" w:cstheme="minorBidi"/>
                <w:sz w:val="20"/>
                <w:szCs w:val="20"/>
                <w:lang w:val="en-US" w:eastAsia="en-US"/>
              </w:rPr>
            </w:pPr>
            <w:r w:rsidRPr="00A76E14">
              <w:rPr>
                <w:rFonts w:asciiTheme="minorHAnsi" w:eastAsiaTheme="minorHAnsi" w:hAnsiTheme="minorHAnsi" w:cstheme="minorBidi"/>
                <w:sz w:val="20"/>
                <w:szCs w:val="20"/>
                <w:lang w:val="en-US" w:eastAsia="en-US"/>
              </w:rPr>
              <w:t xml:space="preserve">According to article 5 of the </w:t>
            </w:r>
            <w:hyperlink r:id="rId27" w:tgtFrame="_blank" w:history="1">
              <w:r w:rsidRPr="003D6FE6">
                <w:rPr>
                  <w:rFonts w:asciiTheme="minorHAnsi" w:eastAsiaTheme="minorHAnsi" w:hAnsiTheme="minorHAnsi" w:cstheme="minorBidi"/>
                  <w:sz w:val="20"/>
                  <w:szCs w:val="20"/>
                  <w:lang w:val="en-US" w:eastAsia="en-US"/>
                </w:rPr>
                <w:t>REGENT 2021</w:t>
              </w:r>
            </w:hyperlink>
            <w:r w:rsidRPr="003D6FE6">
              <w:rPr>
                <w:rFonts w:asciiTheme="minorHAnsi" w:eastAsiaTheme="minorHAnsi" w:hAnsiTheme="minorHAnsi" w:cstheme="minorBidi"/>
                <w:sz w:val="20"/>
                <w:szCs w:val="20"/>
                <w:lang w:val="en-US" w:eastAsia="en-US"/>
              </w:rPr>
              <w:t xml:space="preserve"> </w:t>
            </w:r>
            <w:r w:rsidRPr="00A76E14">
              <w:rPr>
                <w:rFonts w:asciiTheme="minorHAnsi" w:eastAsiaTheme="minorHAnsi" w:hAnsiTheme="minorHAnsi" w:cstheme="minorBidi"/>
                <w:sz w:val="20"/>
                <w:szCs w:val="20"/>
                <w:lang w:val="en-US" w:eastAsia="en-US"/>
              </w:rPr>
              <w:t xml:space="preserve">decision, the market area conversion levy is classified as a system service according to § 19a (1) EnWG. The calculation of the market area conversion charge is described there as well as in § 10 of the cooperation agreement between the operators of gas supply networks located in Germany from </w:t>
            </w:r>
            <w:r w:rsidR="00A626F6">
              <w:rPr>
                <w:rFonts w:asciiTheme="minorHAnsi" w:eastAsiaTheme="minorHAnsi" w:hAnsiTheme="minorHAnsi" w:cstheme="minorBidi"/>
                <w:sz w:val="20"/>
                <w:szCs w:val="20"/>
                <w:lang w:val="en-US" w:eastAsia="en-US"/>
              </w:rPr>
              <w:t>22</w:t>
            </w:r>
            <w:r w:rsidRPr="00A76E14">
              <w:rPr>
                <w:rFonts w:asciiTheme="minorHAnsi" w:eastAsiaTheme="minorHAnsi" w:hAnsiTheme="minorHAnsi" w:cstheme="minorBidi"/>
                <w:sz w:val="20"/>
                <w:szCs w:val="20"/>
                <w:lang w:val="en-US" w:eastAsia="en-US"/>
              </w:rPr>
              <w:t>.0</w:t>
            </w:r>
            <w:r w:rsidR="00A626F6">
              <w:rPr>
                <w:rFonts w:asciiTheme="minorHAnsi" w:eastAsiaTheme="minorHAnsi" w:hAnsiTheme="minorHAnsi" w:cstheme="minorBidi"/>
                <w:sz w:val="20"/>
                <w:szCs w:val="20"/>
                <w:lang w:val="en-US" w:eastAsia="en-US"/>
              </w:rPr>
              <w:t>3</w:t>
            </w:r>
            <w:r w:rsidRPr="00A76E14">
              <w:rPr>
                <w:rFonts w:asciiTheme="minorHAnsi" w:eastAsiaTheme="minorHAnsi" w:hAnsiTheme="minorHAnsi" w:cstheme="minorBidi"/>
                <w:sz w:val="20"/>
                <w:szCs w:val="20"/>
                <w:lang w:val="en-US" w:eastAsia="en-US"/>
              </w:rPr>
              <w:t>.202</w:t>
            </w:r>
            <w:r w:rsidR="00A626F6">
              <w:rPr>
                <w:rFonts w:asciiTheme="minorHAnsi" w:eastAsiaTheme="minorHAnsi" w:hAnsiTheme="minorHAnsi" w:cstheme="minorBidi"/>
                <w:sz w:val="20"/>
                <w:szCs w:val="20"/>
                <w:lang w:val="en-US" w:eastAsia="en-US"/>
              </w:rPr>
              <w:t>3</w:t>
            </w:r>
            <w:r w:rsidRPr="00A76E14">
              <w:rPr>
                <w:rFonts w:asciiTheme="minorHAnsi" w:eastAsiaTheme="minorHAnsi" w:hAnsiTheme="minorHAnsi" w:cstheme="minorBidi"/>
                <w:sz w:val="20"/>
                <w:szCs w:val="20"/>
                <w:lang w:val="en-US" w:eastAsia="en-US"/>
              </w:rPr>
              <w:t>. According to this, the nationwide conversion costs of the year 2024 amounting to 203.9 million € are divided by the nationwide capacity booked or rather ordered from transmission system operators at grid connection points to final consumers and grid connection points to downstream grid operators, regardless of multipliers or seasonal factors of the year 202</w:t>
            </w:r>
            <w:r w:rsidR="00A626F6">
              <w:rPr>
                <w:rFonts w:asciiTheme="minorHAnsi" w:eastAsiaTheme="minorHAnsi" w:hAnsiTheme="minorHAnsi" w:cstheme="minorBidi"/>
                <w:sz w:val="20"/>
                <w:szCs w:val="20"/>
                <w:lang w:val="en-US" w:eastAsia="en-US"/>
              </w:rPr>
              <w:t>5</w:t>
            </w:r>
            <w:r w:rsidRPr="00A76E14">
              <w:rPr>
                <w:rFonts w:asciiTheme="minorHAnsi" w:eastAsiaTheme="minorHAnsi" w:hAnsiTheme="minorHAnsi" w:cstheme="minorBidi"/>
                <w:sz w:val="20"/>
                <w:szCs w:val="20"/>
                <w:lang w:val="en-US" w:eastAsia="en-US"/>
              </w:rPr>
              <w:t xml:space="preserve">, amounting </w:t>
            </w:r>
            <w:r w:rsidRPr="00FC7C41">
              <w:rPr>
                <w:rFonts w:asciiTheme="minorHAnsi" w:eastAsiaTheme="minorHAnsi" w:hAnsiTheme="minorHAnsi" w:cstheme="minorBidi"/>
                <w:sz w:val="20"/>
                <w:szCs w:val="20"/>
                <w:lang w:val="en-US" w:eastAsia="en-US"/>
              </w:rPr>
              <w:t xml:space="preserve">to </w:t>
            </w:r>
            <w:r w:rsidR="00723700" w:rsidRPr="00FC7C41">
              <w:rPr>
                <w:rFonts w:asciiTheme="minorHAnsi" w:eastAsiaTheme="minorHAnsi" w:hAnsiTheme="minorHAnsi" w:cstheme="minorBidi"/>
                <w:sz w:val="20"/>
                <w:szCs w:val="20"/>
                <w:lang w:val="en-US" w:eastAsia="en-US"/>
              </w:rPr>
              <w:t>287,526,485</w:t>
            </w:r>
            <w:r w:rsidR="00723700" w:rsidRPr="00A76E14">
              <w:rPr>
                <w:rFonts w:asciiTheme="minorHAnsi" w:eastAsiaTheme="minorHAnsi" w:hAnsiTheme="minorHAnsi" w:cstheme="minorBidi"/>
                <w:sz w:val="20"/>
                <w:szCs w:val="20"/>
                <w:lang w:val="en-US" w:eastAsia="en-US"/>
              </w:rPr>
              <w:t xml:space="preserve"> </w:t>
            </w:r>
            <w:r w:rsidRPr="00A76E14">
              <w:rPr>
                <w:rFonts w:asciiTheme="minorHAnsi" w:eastAsiaTheme="minorHAnsi" w:hAnsiTheme="minorHAnsi" w:cstheme="minorBidi"/>
                <w:sz w:val="20"/>
                <w:szCs w:val="20"/>
                <w:lang w:val="en-US" w:eastAsia="en-US"/>
              </w:rPr>
              <w:t>(kWh/h)/a. This results in a market conversion levy of 0.671</w:t>
            </w:r>
            <w:r w:rsidR="00FC7C41">
              <w:rPr>
                <w:rFonts w:asciiTheme="minorHAnsi" w:eastAsiaTheme="minorHAnsi" w:hAnsiTheme="minorHAnsi" w:cstheme="minorBidi"/>
                <w:sz w:val="20"/>
                <w:szCs w:val="20"/>
                <w:lang w:val="en-US" w:eastAsia="en-US"/>
              </w:rPr>
              <w:t>3</w:t>
            </w:r>
            <w:r w:rsidRPr="00A76E14">
              <w:rPr>
                <w:rFonts w:asciiTheme="minorHAnsi" w:eastAsiaTheme="minorHAnsi" w:hAnsiTheme="minorHAnsi" w:cstheme="minorBidi"/>
                <w:sz w:val="20"/>
                <w:szCs w:val="20"/>
                <w:lang w:val="en-US" w:eastAsia="en-US"/>
              </w:rPr>
              <w:t xml:space="preserve"> €/(kWh/h)/a.</w:t>
            </w:r>
            <w:r w:rsidRPr="003D6FE6">
              <w:rPr>
                <w:rFonts w:asciiTheme="minorHAnsi" w:eastAsiaTheme="minorHAnsi" w:hAnsiTheme="minorHAnsi" w:cstheme="minorBidi"/>
                <w:sz w:val="20"/>
                <w:szCs w:val="20"/>
                <w:lang w:val="en-US" w:eastAsia="en-US"/>
              </w:rPr>
              <w:t> </w:t>
            </w:r>
          </w:p>
          <w:p w14:paraId="0C10A611" w14:textId="43B37022" w:rsidR="003D6FE6" w:rsidRPr="003D6FE6" w:rsidRDefault="003D6FE6" w:rsidP="003D6FE6">
            <w:pPr>
              <w:pStyle w:val="paragraph"/>
              <w:spacing w:before="0" w:beforeAutospacing="0" w:after="0" w:afterAutospacing="0"/>
              <w:textAlignment w:val="baseline"/>
              <w:rPr>
                <w:rFonts w:asciiTheme="minorHAnsi" w:eastAsiaTheme="minorHAnsi" w:hAnsiTheme="minorHAnsi" w:cstheme="minorBidi"/>
                <w:sz w:val="20"/>
                <w:szCs w:val="20"/>
                <w:lang w:val="en-US" w:eastAsia="en-US"/>
              </w:rPr>
            </w:pPr>
          </w:p>
        </w:tc>
      </w:tr>
      <w:tr w:rsidR="00627B47" w:rsidRPr="000F6EE8" w14:paraId="5A64FE9C" w14:textId="77777777" w:rsidTr="00387056">
        <w:tblPrEx>
          <w:tblCellMar>
            <w:left w:w="70" w:type="dxa"/>
            <w:right w:w="70" w:type="dxa"/>
          </w:tblCellMar>
        </w:tblPrEx>
        <w:tc>
          <w:tcPr>
            <w:tcW w:w="1161" w:type="dxa"/>
          </w:tcPr>
          <w:p w14:paraId="242ECA12" w14:textId="5FE50EA0" w:rsidR="00627B47" w:rsidRPr="008631F7" w:rsidRDefault="006951B9" w:rsidP="00627B47">
            <w:pPr>
              <w:rPr>
                <w:b/>
                <w:bCs/>
                <w:color w:val="00A984"/>
                <w:sz w:val="20"/>
                <w:szCs w:val="20"/>
              </w:rPr>
            </w:pPr>
            <w:r w:rsidRPr="006951B9">
              <w:rPr>
                <w:b/>
                <w:bCs/>
                <w:color w:val="00A984"/>
                <w:sz w:val="20"/>
                <w:szCs w:val="20"/>
              </w:rPr>
              <w:lastRenderedPageBreak/>
              <w:t>Art. 30 (1) c) iii)</w:t>
            </w:r>
          </w:p>
        </w:tc>
        <w:tc>
          <w:tcPr>
            <w:tcW w:w="2242" w:type="dxa"/>
          </w:tcPr>
          <w:p w14:paraId="320AE563" w14:textId="13D6246A" w:rsidR="00627B47" w:rsidRPr="000517C8" w:rsidRDefault="00050CCC" w:rsidP="00627B47">
            <w:pPr>
              <w:rPr>
                <w:sz w:val="20"/>
                <w:szCs w:val="20"/>
              </w:rPr>
            </w:pPr>
            <w:r w:rsidRPr="000517C8">
              <w:rPr>
                <w:sz w:val="20"/>
                <w:szCs w:val="20"/>
              </w:rPr>
              <w:t>die Referenzpreise und sonstige Preise für andere Punkte als die in Artikel 29 genannten Punkte</w:t>
            </w:r>
          </w:p>
        </w:tc>
        <w:tc>
          <w:tcPr>
            <w:tcW w:w="4394" w:type="dxa"/>
          </w:tcPr>
          <w:p w14:paraId="670EE06D" w14:textId="15D1E755" w:rsidR="00627B47" w:rsidRPr="00972D9B" w:rsidRDefault="00050CCC" w:rsidP="00627B47">
            <w:r w:rsidRPr="000517C8">
              <w:rPr>
                <w:sz w:val="20"/>
                <w:szCs w:val="20"/>
              </w:rPr>
              <w:t xml:space="preserve">Die Entgelte für IB- und Letztverbraucher-Ausspeisepunkte entsprechen den Entgelten der Briefmarke im Marktgebiet Trading Hub Europe. Dies entspricht der Entgeltberechnungsmethode, die die Bundesnetzagentur in dem Beschluss REGENT 2021 festgelegt hat. Für die Briefmarkenermittlung der Kopplungspunkte </w:t>
            </w:r>
            <w:r w:rsidRPr="000517C8">
              <w:rPr>
                <w:sz w:val="20"/>
                <w:szCs w:val="20"/>
              </w:rPr>
              <w:lastRenderedPageBreak/>
              <w:t>fließen die Summe der prognostizierten Kapazitätsbuchungen für alle Ein- und Ausspeisungspunkte sowie die Erlösobergrenze und der Entry/Exit-Split im Kalenderjahr t in die Berechnung ein. Der Referenzpreis sowie sonstige Bestandteile können dem Preisblatt entnommen werden.</w:t>
            </w:r>
          </w:p>
        </w:tc>
        <w:tc>
          <w:tcPr>
            <w:tcW w:w="1984" w:type="dxa"/>
          </w:tcPr>
          <w:p w14:paraId="37CB2C3D" w14:textId="77777777" w:rsidR="00A5636E" w:rsidRPr="00A76E14" w:rsidRDefault="00A5636E" w:rsidP="00A5636E">
            <w:pPr>
              <w:rPr>
                <w:sz w:val="20"/>
                <w:szCs w:val="20"/>
                <w:lang w:val="en-US"/>
              </w:rPr>
            </w:pPr>
            <w:r w:rsidRPr="00A76E14">
              <w:rPr>
                <w:sz w:val="20"/>
                <w:szCs w:val="20"/>
                <w:lang w:val="en-US"/>
              </w:rPr>
              <w:lastRenderedPageBreak/>
              <w:t xml:space="preserve">the reference prices and other prices applicable </w:t>
            </w:r>
          </w:p>
          <w:p w14:paraId="40C4B128" w14:textId="086CF19C" w:rsidR="00627B47" w:rsidRPr="00A76E14" w:rsidRDefault="00A5636E" w:rsidP="00A5636E">
            <w:pPr>
              <w:rPr>
                <w:sz w:val="20"/>
                <w:szCs w:val="20"/>
                <w:lang w:val="en-US"/>
              </w:rPr>
            </w:pPr>
            <w:r w:rsidRPr="00A76E14">
              <w:rPr>
                <w:sz w:val="20"/>
                <w:szCs w:val="20"/>
                <w:lang w:val="en-US"/>
              </w:rPr>
              <w:t>at points other than those referred to in Article 29</w:t>
            </w:r>
          </w:p>
        </w:tc>
        <w:tc>
          <w:tcPr>
            <w:tcW w:w="5103" w:type="dxa"/>
          </w:tcPr>
          <w:p w14:paraId="54CD1329" w14:textId="3CFAEAF8" w:rsidR="00627B47" w:rsidRPr="00A5636E" w:rsidRDefault="003E10A2" w:rsidP="00627B47">
            <w:pPr>
              <w:rPr>
                <w:sz w:val="20"/>
                <w:szCs w:val="20"/>
                <w:lang w:val="en-US"/>
              </w:rPr>
            </w:pPr>
            <w:r w:rsidRPr="003E10A2">
              <w:rPr>
                <w:sz w:val="20"/>
                <w:szCs w:val="20"/>
                <w:lang w:val="en-US"/>
              </w:rPr>
              <w:t xml:space="preserve">The reference prices for exit points of internal orders and network connection points are the same as the postage stamp of the Trading Hub Europe market area. This corresponds to the tariff calculation method which the NRA has determined in the REGENT decision. The reference prices are the result of the sum of forecasted capacity bookings for all entry and exit points as well as the revenue </w:t>
            </w:r>
            <w:r w:rsidRPr="003E10A2">
              <w:rPr>
                <w:sz w:val="20"/>
                <w:szCs w:val="20"/>
                <w:lang w:val="en-US"/>
              </w:rPr>
              <w:lastRenderedPageBreak/>
              <w:t xml:space="preserve">cap and the entry/exit split of the calendar year t. The reference price and other prices ca be taken from the current price sheet.  </w:t>
            </w:r>
          </w:p>
        </w:tc>
      </w:tr>
      <w:tr w:rsidR="004E4B19" w:rsidRPr="000F6EE8" w14:paraId="3C1BAC0E" w14:textId="77777777" w:rsidTr="00387056">
        <w:tblPrEx>
          <w:tblCellMar>
            <w:left w:w="70" w:type="dxa"/>
            <w:right w:w="70" w:type="dxa"/>
          </w:tblCellMar>
        </w:tblPrEx>
        <w:tc>
          <w:tcPr>
            <w:tcW w:w="1161" w:type="dxa"/>
          </w:tcPr>
          <w:p w14:paraId="25E753FE" w14:textId="09FD6D02" w:rsidR="004E4B19" w:rsidRPr="003F0E2F" w:rsidRDefault="004E4B19" w:rsidP="004E4B19">
            <w:pPr>
              <w:rPr>
                <w:b/>
                <w:bCs/>
                <w:color w:val="00A984"/>
                <w:sz w:val="20"/>
                <w:szCs w:val="20"/>
              </w:rPr>
            </w:pPr>
            <w:r w:rsidRPr="00EF2F8A">
              <w:rPr>
                <w:b/>
                <w:bCs/>
                <w:color w:val="00A984"/>
                <w:sz w:val="20"/>
                <w:szCs w:val="20"/>
              </w:rPr>
              <w:lastRenderedPageBreak/>
              <w:t xml:space="preserve">Art. 30 (2) a) i) </w:t>
            </w:r>
          </w:p>
        </w:tc>
        <w:tc>
          <w:tcPr>
            <w:tcW w:w="2242" w:type="dxa"/>
          </w:tcPr>
          <w:p w14:paraId="368DF889" w14:textId="54A60F70" w:rsidR="004E4B19" w:rsidRPr="0053622B" w:rsidRDefault="004E4B19" w:rsidP="004E4B19">
            <w:pPr>
              <w:rPr>
                <w:sz w:val="20"/>
                <w:szCs w:val="20"/>
              </w:rPr>
            </w:pPr>
            <w:r w:rsidRPr="00872C2A">
              <w:rPr>
                <w:sz w:val="20"/>
                <w:szCs w:val="20"/>
              </w:rPr>
              <w:t>Eine Erläuterung des Unterschieds in der Höhe der Fernleitungsentgelte für dieselbe Art von Fernleitungsdienstleistung zwischen der laufenden Entgeltperiode und der Entgeltperiode für die die Informationen veröffentlicht werden.</w:t>
            </w:r>
            <w:r w:rsidRPr="00872C2A">
              <w:rPr>
                <w:b/>
                <w:bCs/>
                <w:sz w:val="20"/>
                <w:szCs w:val="20"/>
              </w:rPr>
              <w:t> </w:t>
            </w:r>
          </w:p>
        </w:tc>
        <w:tc>
          <w:tcPr>
            <w:tcW w:w="4394" w:type="dxa"/>
          </w:tcPr>
          <w:p w14:paraId="217276BC" w14:textId="6E46C774" w:rsidR="004E4B19" w:rsidRPr="005C4F32" w:rsidRDefault="00122E16" w:rsidP="00011D0B">
            <w:pPr>
              <w:rPr>
                <w:sz w:val="20"/>
                <w:szCs w:val="20"/>
              </w:rPr>
            </w:pPr>
            <w:r w:rsidRPr="00011D0B">
              <w:rPr>
                <w:sz w:val="20"/>
                <w:szCs w:val="20"/>
              </w:rPr>
              <w:t>Die Briefmarke des Marktgebiets Trading Hub Europe steigt im Jahr 2025 im Vergleich zum Jahr</w:t>
            </w:r>
            <w:r w:rsidR="00011D0B" w:rsidRPr="00011D0B">
              <w:rPr>
                <w:sz w:val="20"/>
                <w:szCs w:val="20"/>
              </w:rPr>
              <w:t xml:space="preserve"> </w:t>
            </w:r>
            <w:r w:rsidRPr="00011D0B">
              <w:rPr>
                <w:sz w:val="20"/>
                <w:szCs w:val="20"/>
              </w:rPr>
              <w:t>einheitlichen Entgelt in 2024 um 1,61 €/(kWh/h)/a. Diese Änderung basiert auf regelmäßigen</w:t>
            </w:r>
            <w:r w:rsidR="00011D0B">
              <w:rPr>
                <w:sz w:val="20"/>
                <w:szCs w:val="20"/>
              </w:rPr>
              <w:t xml:space="preserve"> </w:t>
            </w:r>
            <w:r w:rsidRPr="00011D0B">
              <w:rPr>
                <w:sz w:val="20"/>
                <w:szCs w:val="20"/>
              </w:rPr>
              <w:t>Entgeltanpassungen unter Berücksichtigung von Veränderungen der Eingangsparameter</w:t>
            </w:r>
            <w:r w:rsidR="00011D0B">
              <w:rPr>
                <w:sz w:val="20"/>
                <w:szCs w:val="20"/>
              </w:rPr>
              <w:t xml:space="preserve"> </w:t>
            </w:r>
            <w:r w:rsidRPr="00011D0B">
              <w:rPr>
                <w:sz w:val="20"/>
                <w:szCs w:val="20"/>
              </w:rPr>
              <w:t>Erlösobergrenzen und Kapazitätsprognosen der beteiligten Fernleitungsnetzbetreiber.Hohe, für die Versorgungssicherheit notwendige Speicherfüllstände und ein deutlicher Rückgang der Endverbrauchs- und Transitvolumina führen zu einer reduzierten Buchungsprognose. Durch die</w:t>
            </w:r>
            <w:r w:rsidR="00011D0B" w:rsidRPr="00011D0B">
              <w:rPr>
                <w:sz w:val="20"/>
                <w:szCs w:val="20"/>
              </w:rPr>
              <w:t xml:space="preserve"> </w:t>
            </w:r>
            <w:r w:rsidRPr="00011D0B">
              <w:rPr>
                <w:sz w:val="20"/>
                <w:szCs w:val="20"/>
              </w:rPr>
              <w:t xml:space="preserve">Regulierungskontosystematik wirken die außergewöhnlichen Effekte aus dem Krisenjahr 2022 (bspw. Buchungsrückgänge und hohe Treibenergiekosten) nun erstmals zeitversetzt in 2025 kostenerhöhend. </w:t>
            </w:r>
            <w:r w:rsidRPr="000F6EE8">
              <w:rPr>
                <w:sz w:val="20"/>
                <w:szCs w:val="20"/>
              </w:rPr>
              <w:t>Die mit der Diversifizierung der Bezugsquellen mittels neuer LNG-Anlagen verbundenen Investitionen einzelner FNB in neue Einspeisepunkte und Anbindungsleitungen der LNG-Anlagen fließen in die Entgeltkalkulation 2025 ebenfalls mit ein.</w:t>
            </w:r>
          </w:p>
        </w:tc>
        <w:tc>
          <w:tcPr>
            <w:tcW w:w="1984" w:type="dxa"/>
          </w:tcPr>
          <w:p w14:paraId="3F41E137" w14:textId="052E92F7" w:rsidR="004E4B19" w:rsidRPr="006C428A" w:rsidRDefault="004E4B19" w:rsidP="004E4B19">
            <w:pPr>
              <w:rPr>
                <w:sz w:val="20"/>
                <w:szCs w:val="20"/>
                <w:lang w:val="en-US"/>
              </w:rPr>
            </w:pPr>
            <w:r w:rsidRPr="004E4B19">
              <w:rPr>
                <w:sz w:val="20"/>
                <w:szCs w:val="20"/>
                <w:lang w:val="en-US"/>
              </w:rPr>
              <w:t>Information on transmission tariff changes and trends</w:t>
            </w:r>
            <w:r w:rsidRPr="004E4B19">
              <w:rPr>
                <w:b/>
                <w:bCs/>
                <w:sz w:val="20"/>
                <w:szCs w:val="20"/>
              </w:rPr>
              <w:t> </w:t>
            </w:r>
          </w:p>
        </w:tc>
        <w:tc>
          <w:tcPr>
            <w:tcW w:w="5103" w:type="dxa"/>
          </w:tcPr>
          <w:p w14:paraId="47C56604" w14:textId="77777777" w:rsidR="00361EBD" w:rsidRPr="00361EBD" w:rsidRDefault="005A6220" w:rsidP="004E4B19">
            <w:pPr>
              <w:rPr>
                <w:sz w:val="20"/>
                <w:szCs w:val="20"/>
                <w:lang w:val="en-US"/>
              </w:rPr>
            </w:pPr>
            <w:r w:rsidRPr="00361EBD">
              <w:rPr>
                <w:sz w:val="20"/>
                <w:szCs w:val="20"/>
                <w:lang w:val="en-US"/>
              </w:rPr>
              <w:t>The postage stamp of the entry-exit system Trading Hub Europe will increase by 161 ct./(kWh/h)/a in 2025 compared to the tariff in 2024. This change is based on regular fee adjustments taking into account changes of the input parameters allowed revenues and forecasts of contracted capacity of the transmission system operators involved. High storage levels, which are necessary for security of supply, and a significant decline in end consumption and transit volumes lead to a reduced booking forecast. Due to the regulatory account system, the extraordinary effects from the crisis year 2022 (e.g. declines in bookings and high fuel costs) are now increasing costs with a time lag for the first time in 2025. The diversification of supply sources by means of new LNG plants has supported security of supply and helped to dampen the gas price. The associated investments by individual transmission system operators in new entry points and connecting pipelines for the LNG facilities are now also included in the 2025 tariff calculation.</w:t>
            </w:r>
          </w:p>
          <w:p w14:paraId="2348D4E2" w14:textId="55518BCC" w:rsidR="004E4B19" w:rsidRPr="00C72218" w:rsidRDefault="004E4B19" w:rsidP="004E4B19">
            <w:pPr>
              <w:rPr>
                <w:sz w:val="20"/>
                <w:szCs w:val="20"/>
                <w:lang w:val="en-US"/>
              </w:rPr>
            </w:pPr>
          </w:p>
        </w:tc>
      </w:tr>
      <w:tr w:rsidR="004E4B19" w:rsidRPr="002C76D7" w14:paraId="008AB37E" w14:textId="77777777" w:rsidTr="00387056">
        <w:tblPrEx>
          <w:tblCellMar>
            <w:left w:w="70" w:type="dxa"/>
            <w:right w:w="70" w:type="dxa"/>
          </w:tblCellMar>
        </w:tblPrEx>
        <w:tc>
          <w:tcPr>
            <w:tcW w:w="1161" w:type="dxa"/>
          </w:tcPr>
          <w:p w14:paraId="1329AD10" w14:textId="5DE84B9F" w:rsidR="004E4B19" w:rsidRPr="002C76D7" w:rsidRDefault="00694168" w:rsidP="004E4B19">
            <w:pPr>
              <w:rPr>
                <w:color w:val="00A984"/>
                <w:sz w:val="20"/>
                <w:szCs w:val="20"/>
              </w:rPr>
            </w:pPr>
            <w:r w:rsidRPr="002C76D7">
              <w:rPr>
                <w:color w:val="00A984"/>
                <w:sz w:val="20"/>
                <w:szCs w:val="20"/>
                <w:lang w:val="en-GB"/>
              </w:rPr>
              <w:t>Art. 30 (2) a) ii)</w:t>
            </w:r>
            <w:r w:rsidRPr="002C76D7">
              <w:rPr>
                <w:color w:val="00A984"/>
                <w:sz w:val="20"/>
                <w:szCs w:val="20"/>
              </w:rPr>
              <w:t> </w:t>
            </w:r>
          </w:p>
        </w:tc>
        <w:tc>
          <w:tcPr>
            <w:tcW w:w="2242" w:type="dxa"/>
          </w:tcPr>
          <w:p w14:paraId="40E10818" w14:textId="0AE10617" w:rsidR="004E4B19" w:rsidRPr="002C76D7" w:rsidRDefault="00571351" w:rsidP="004E4B19">
            <w:pPr>
              <w:rPr>
                <w:sz w:val="20"/>
                <w:szCs w:val="20"/>
              </w:rPr>
            </w:pPr>
            <w:r w:rsidRPr="002C76D7">
              <w:rPr>
                <w:sz w:val="20"/>
                <w:szCs w:val="20"/>
              </w:rPr>
              <w:t xml:space="preserve">Eine Erläuterung des geschätzten Unterschieds in der Höhe der Fernleitungsentgelte für dieselbe Art der Fernleitungsdienstleistung zwischen der </w:t>
            </w:r>
            <w:r w:rsidRPr="002C76D7">
              <w:rPr>
                <w:sz w:val="20"/>
                <w:szCs w:val="20"/>
              </w:rPr>
              <w:lastRenderedPageBreak/>
              <w:t>Entgeltperiode, für die die Informationen veröffentlicht werden und jeder Entgeltperiode der restlichen Regulierungsperiode. </w:t>
            </w:r>
          </w:p>
        </w:tc>
        <w:tc>
          <w:tcPr>
            <w:tcW w:w="4394" w:type="dxa"/>
          </w:tcPr>
          <w:p w14:paraId="4CD64473" w14:textId="77777777" w:rsidR="00C56284" w:rsidRPr="002C76D7" w:rsidRDefault="00C56284" w:rsidP="00C56284">
            <w:pPr>
              <w:rPr>
                <w:sz w:val="20"/>
                <w:szCs w:val="20"/>
              </w:rPr>
            </w:pPr>
            <w:r w:rsidRPr="002C76D7">
              <w:rPr>
                <w:sz w:val="20"/>
                <w:szCs w:val="20"/>
              </w:rPr>
              <w:lastRenderedPageBreak/>
              <w:t>Siehe Anlage  </w:t>
            </w:r>
          </w:p>
          <w:p w14:paraId="530CDB60" w14:textId="124871B5" w:rsidR="00C56284" w:rsidRPr="002C76D7" w:rsidRDefault="00C56284" w:rsidP="00C56284">
            <w:pPr>
              <w:rPr>
                <w:sz w:val="20"/>
                <w:szCs w:val="20"/>
              </w:rPr>
            </w:pPr>
            <w:r w:rsidRPr="002C76D7">
              <w:rPr>
                <w:sz w:val="20"/>
                <w:szCs w:val="20"/>
              </w:rPr>
              <w:t xml:space="preserve">Zur Erfüllung der Veröffentlichungspflicht wurde analog zum bisherigen Vorgehen der BNetzA (vgl. Anlage 5 der Festlegung REGENT 2021) die Entwicklung der Entgelte bis zum Ende der Regulierungsperiode indikativ prognostiziert. Hiernach wäre mit einem Anstieg des Entgeltes im </w:t>
            </w:r>
            <w:r w:rsidRPr="002C76D7">
              <w:rPr>
                <w:sz w:val="20"/>
                <w:szCs w:val="20"/>
              </w:rPr>
              <w:lastRenderedPageBreak/>
              <w:t>Jahr 202</w:t>
            </w:r>
            <w:r w:rsidR="00512A97">
              <w:rPr>
                <w:sz w:val="20"/>
                <w:szCs w:val="20"/>
              </w:rPr>
              <w:t>6</w:t>
            </w:r>
            <w:r w:rsidRPr="002C76D7">
              <w:rPr>
                <w:sz w:val="20"/>
                <w:szCs w:val="20"/>
              </w:rPr>
              <w:t xml:space="preserve"> zu rechnen. Hierbei ist darauf hinzuweisen, dass die Berechnungen von aktuell nur sehr schwer zu prognostizierenden Annahmen abhängig sind. Entsprechend sind die Berechnungen als rein indikativ zur Erfüllung der Veröffentlichungspflichten anzusehen. Für die Inflation wurde auf die von der BNetzA genannten Werte im Dokument „Hinweise für Fernleitungsnetzbetreiber zur Veröffentlichung von Entgelten gemäß Art. 29, 31 und 32 der Verordnung (EU) Nr. 2017/460“ abgestellt. Weiterhin wurde für den generellen sektoralen Produktivitätsfaktor nach § 9 ARegV eine Fortschreibung des Wertes aus der dritten Regulierungsperiode vorgenommen, da die BNetzA für die vierte Regulierungsperiode noch keinen finalen Wert ermittelt hat. </w:t>
            </w:r>
          </w:p>
          <w:p w14:paraId="2F48C56C" w14:textId="77777777" w:rsidR="00C56284" w:rsidRPr="002C76D7" w:rsidRDefault="00C56284" w:rsidP="00C56284">
            <w:pPr>
              <w:rPr>
                <w:sz w:val="20"/>
                <w:szCs w:val="20"/>
              </w:rPr>
            </w:pPr>
            <w:r w:rsidRPr="002C76D7">
              <w:rPr>
                <w:sz w:val="20"/>
                <w:szCs w:val="20"/>
              </w:rPr>
              <w:t>Weitere Annahmen zur Entwicklung der prognostizierten Kapazitäten sowie der jährlichen Entwicklung der zulässigen Erlöse können direkt vom Anwender im Modell getroffen werden.  </w:t>
            </w:r>
          </w:p>
          <w:p w14:paraId="14004CED" w14:textId="3A41813E" w:rsidR="004E4B19" w:rsidRPr="002C76D7" w:rsidRDefault="004E4B19" w:rsidP="004E4B19">
            <w:pPr>
              <w:rPr>
                <w:sz w:val="20"/>
                <w:szCs w:val="20"/>
              </w:rPr>
            </w:pPr>
          </w:p>
        </w:tc>
        <w:tc>
          <w:tcPr>
            <w:tcW w:w="1984" w:type="dxa"/>
          </w:tcPr>
          <w:p w14:paraId="6A93C928" w14:textId="2331F664" w:rsidR="004E4B19" w:rsidRPr="002C76D7" w:rsidRDefault="00EB7D60" w:rsidP="004E4B19">
            <w:pPr>
              <w:rPr>
                <w:sz w:val="20"/>
                <w:szCs w:val="20"/>
                <w:lang w:val="en-US"/>
              </w:rPr>
            </w:pPr>
            <w:r w:rsidRPr="002C76D7">
              <w:rPr>
                <w:sz w:val="20"/>
                <w:szCs w:val="20"/>
                <w:lang w:val="en-US"/>
              </w:rPr>
              <w:lastRenderedPageBreak/>
              <w:t xml:space="preserve">The difference in the level of transmission tariffs for the same type of transmission service applicable for the tariff period for which the information </w:t>
            </w:r>
            <w:r w:rsidRPr="002C76D7">
              <w:rPr>
                <w:sz w:val="20"/>
                <w:szCs w:val="20"/>
                <w:lang w:val="en-US"/>
              </w:rPr>
              <w:lastRenderedPageBreak/>
              <w:t>is published and for each tariff period within the remainder of the regulatory period </w:t>
            </w:r>
          </w:p>
        </w:tc>
        <w:tc>
          <w:tcPr>
            <w:tcW w:w="5103" w:type="dxa"/>
          </w:tcPr>
          <w:p w14:paraId="008A05E4" w14:textId="77777777" w:rsidR="004359B1" w:rsidRPr="002C76D7" w:rsidRDefault="004359B1" w:rsidP="004359B1">
            <w:pPr>
              <w:rPr>
                <w:sz w:val="20"/>
                <w:szCs w:val="20"/>
                <w:lang w:val="en-US"/>
              </w:rPr>
            </w:pPr>
            <w:r w:rsidRPr="002C76D7">
              <w:rPr>
                <w:sz w:val="20"/>
                <w:szCs w:val="20"/>
                <w:lang w:val="en-US"/>
              </w:rPr>
              <w:lastRenderedPageBreak/>
              <w:t>Please see Annex </w:t>
            </w:r>
          </w:p>
          <w:p w14:paraId="4A10B838" w14:textId="061BF565" w:rsidR="004359B1" w:rsidRPr="002C76D7" w:rsidRDefault="004359B1" w:rsidP="004359B1">
            <w:pPr>
              <w:rPr>
                <w:sz w:val="20"/>
                <w:szCs w:val="20"/>
                <w:lang w:val="en-US"/>
              </w:rPr>
            </w:pPr>
            <w:r w:rsidRPr="002C76D7">
              <w:rPr>
                <w:sz w:val="20"/>
                <w:szCs w:val="20"/>
                <w:lang w:val="en-US"/>
              </w:rPr>
              <w:t>In order to fulfil the publication requirements, the former approach of the BNetzA (Appendix 5 of REGENT 2021 decision) was continued to forecast the tariffs on an indicative basis. According to this, an increase in the charge would be expected in 202</w:t>
            </w:r>
            <w:r w:rsidR="00512A97">
              <w:rPr>
                <w:sz w:val="20"/>
                <w:szCs w:val="20"/>
                <w:lang w:val="en-US"/>
              </w:rPr>
              <w:t>6</w:t>
            </w:r>
            <w:r w:rsidRPr="002C76D7">
              <w:rPr>
                <w:sz w:val="20"/>
                <w:szCs w:val="20"/>
                <w:lang w:val="en-US"/>
              </w:rPr>
              <w:t>. </w:t>
            </w:r>
          </w:p>
          <w:p w14:paraId="7E78259E" w14:textId="77777777" w:rsidR="004359B1" w:rsidRPr="002C76D7" w:rsidRDefault="004359B1" w:rsidP="004359B1">
            <w:pPr>
              <w:rPr>
                <w:sz w:val="20"/>
                <w:szCs w:val="20"/>
                <w:lang w:val="en-US"/>
              </w:rPr>
            </w:pPr>
            <w:r w:rsidRPr="002C76D7">
              <w:rPr>
                <w:sz w:val="20"/>
                <w:szCs w:val="20"/>
                <w:lang w:val="en-US"/>
              </w:rPr>
              <w:lastRenderedPageBreak/>
              <w:t>It should be noted that the calculations depend on assumptions that are currently very difficult to forecast. Accordingly, the forecast should be interpreted as merely indicative to fulfil the publication requirements. For inflation, the values stated by the BNetzA in the document "Notes for transmission system operators on the publication of charges pursuant to Articles 29, 31 and 32 of Regulation (EU) No. 2017/460" were used. Furthermore, the value from the third regulatory period was used for the general sectoral productivity factor</w:t>
            </w:r>
            <w:r w:rsidRPr="002C76D7">
              <w:rPr>
                <w:sz w:val="20"/>
                <w:szCs w:val="20"/>
                <w:lang w:val="en-GB"/>
              </w:rPr>
              <w:t xml:space="preserve">, </w:t>
            </w:r>
            <w:r w:rsidRPr="002C76D7">
              <w:rPr>
                <w:sz w:val="20"/>
                <w:szCs w:val="20"/>
                <w:lang w:val="en-US"/>
              </w:rPr>
              <w:t>as the BNetzA has not yet determined a final value for the fourth regulatory period. </w:t>
            </w:r>
          </w:p>
          <w:p w14:paraId="62480B91" w14:textId="77777777" w:rsidR="004359B1" w:rsidRPr="002C76D7" w:rsidRDefault="004359B1" w:rsidP="004359B1">
            <w:pPr>
              <w:rPr>
                <w:sz w:val="20"/>
                <w:szCs w:val="20"/>
                <w:lang w:val="en-US"/>
              </w:rPr>
            </w:pPr>
            <w:r w:rsidRPr="002C76D7">
              <w:rPr>
                <w:sz w:val="20"/>
                <w:szCs w:val="20"/>
                <w:lang w:val="en-US"/>
              </w:rPr>
              <w:t>Further assumptions on the development of the forecast capacities and the annual development of the permissible revenues can be made directly by the user in the model. </w:t>
            </w:r>
          </w:p>
          <w:p w14:paraId="4298F20D" w14:textId="67EC7299" w:rsidR="004E4B19" w:rsidRPr="002C76D7" w:rsidRDefault="004E4B19" w:rsidP="004E4B19">
            <w:pPr>
              <w:rPr>
                <w:sz w:val="20"/>
                <w:szCs w:val="20"/>
                <w:lang w:val="en-US"/>
              </w:rPr>
            </w:pPr>
          </w:p>
        </w:tc>
      </w:tr>
      <w:tr w:rsidR="004E4B19" w:rsidRPr="00867109" w14:paraId="3FC08338" w14:textId="77777777" w:rsidTr="00387056">
        <w:tblPrEx>
          <w:tblCellMar>
            <w:left w:w="70" w:type="dxa"/>
            <w:right w:w="70" w:type="dxa"/>
          </w:tblCellMar>
        </w:tblPrEx>
        <w:tc>
          <w:tcPr>
            <w:tcW w:w="1161" w:type="dxa"/>
          </w:tcPr>
          <w:p w14:paraId="0CA479A5" w14:textId="77777777" w:rsidR="004E4B19" w:rsidRPr="003F0E2F" w:rsidRDefault="004E4B19" w:rsidP="004E4B19">
            <w:pPr>
              <w:rPr>
                <w:b/>
                <w:bCs/>
                <w:color w:val="00A984"/>
                <w:sz w:val="20"/>
                <w:szCs w:val="20"/>
              </w:rPr>
            </w:pPr>
            <w:r w:rsidRPr="003F0E2F">
              <w:rPr>
                <w:b/>
                <w:bCs/>
                <w:color w:val="00A984"/>
                <w:sz w:val="20"/>
                <w:szCs w:val="20"/>
              </w:rPr>
              <w:lastRenderedPageBreak/>
              <w:t>Art. 30 (2)(b)</w:t>
            </w:r>
          </w:p>
          <w:p w14:paraId="1CDB5947" w14:textId="77777777" w:rsidR="004E4B19" w:rsidRPr="003F0E2F" w:rsidRDefault="004E4B19" w:rsidP="004E4B19">
            <w:pPr>
              <w:rPr>
                <w:b/>
                <w:bCs/>
                <w:color w:val="00A984"/>
                <w:sz w:val="20"/>
                <w:szCs w:val="20"/>
              </w:rPr>
            </w:pPr>
          </w:p>
        </w:tc>
        <w:tc>
          <w:tcPr>
            <w:tcW w:w="2242" w:type="dxa"/>
          </w:tcPr>
          <w:p w14:paraId="25FCC453" w14:textId="69072726" w:rsidR="004E4B19" w:rsidRPr="0053622B" w:rsidRDefault="004E4B19" w:rsidP="004E4B19">
            <w:pPr>
              <w:rPr>
                <w:sz w:val="20"/>
                <w:szCs w:val="20"/>
              </w:rPr>
            </w:pPr>
            <w:r w:rsidRPr="0053622B">
              <w:rPr>
                <w:sz w:val="20"/>
                <w:szCs w:val="20"/>
              </w:rPr>
              <w:t>Informationen zum im Tarifjahr 202</w:t>
            </w:r>
            <w:r w:rsidR="00F12E92">
              <w:rPr>
                <w:sz w:val="20"/>
                <w:szCs w:val="20"/>
              </w:rPr>
              <w:t>4</w:t>
            </w:r>
            <w:r w:rsidRPr="0053622B">
              <w:rPr>
                <w:sz w:val="20"/>
                <w:szCs w:val="20"/>
              </w:rPr>
              <w:t xml:space="preserve"> verwendeten Referenzpreismodell inkl. vereinfachtem Entgeltmodell</w:t>
            </w:r>
          </w:p>
        </w:tc>
        <w:tc>
          <w:tcPr>
            <w:tcW w:w="4394" w:type="dxa"/>
          </w:tcPr>
          <w:p w14:paraId="6D045B39" w14:textId="3771716E" w:rsidR="004E4B19" w:rsidRPr="002C76D7" w:rsidRDefault="004E4B19" w:rsidP="004E4B19">
            <w:pPr>
              <w:rPr>
                <w:b/>
                <w:bCs/>
                <w:sz w:val="20"/>
                <w:szCs w:val="20"/>
              </w:rPr>
            </w:pPr>
            <w:hyperlink r:id="rId28" w:history="1">
              <w:r w:rsidRPr="00B54B24">
                <w:rPr>
                  <w:rStyle w:val="Hyperlink"/>
                  <w:sz w:val="20"/>
                  <w:szCs w:val="20"/>
                </w:rPr>
                <w:t>Vereinfachtes Entgeltmodell</w:t>
              </w:r>
            </w:hyperlink>
          </w:p>
        </w:tc>
        <w:tc>
          <w:tcPr>
            <w:tcW w:w="1984" w:type="dxa"/>
          </w:tcPr>
          <w:p w14:paraId="5B2C86F3" w14:textId="77777777" w:rsidR="004E4B19" w:rsidRPr="00532D01" w:rsidRDefault="004E4B19" w:rsidP="004E4B19">
            <w:pPr>
              <w:rPr>
                <w:sz w:val="20"/>
                <w:szCs w:val="20"/>
                <w:lang w:val="en-GB"/>
              </w:rPr>
            </w:pPr>
            <w:r w:rsidRPr="00532D01">
              <w:rPr>
                <w:sz w:val="20"/>
                <w:szCs w:val="20"/>
                <w:lang w:val="en-GB"/>
              </w:rPr>
              <w:t>Information about the used tariff model and an explanation how to calculate the transmission tariffs applicable for the prevailing tariff period.</w:t>
            </w:r>
          </w:p>
        </w:tc>
        <w:tc>
          <w:tcPr>
            <w:tcW w:w="5103" w:type="dxa"/>
          </w:tcPr>
          <w:p w14:paraId="5642122F" w14:textId="429BF12D" w:rsidR="004E4B19" w:rsidRPr="00867109" w:rsidRDefault="004E4B19" w:rsidP="004E4B19">
            <w:pPr>
              <w:rPr>
                <w:sz w:val="20"/>
                <w:szCs w:val="20"/>
                <w:lang w:val="en-GB"/>
              </w:rPr>
            </w:pPr>
            <w:hyperlink r:id="rId29" w:history="1">
              <w:r w:rsidRPr="009F76C3">
                <w:rPr>
                  <w:rStyle w:val="Hyperlink"/>
                  <w:sz w:val="20"/>
                  <w:szCs w:val="20"/>
                </w:rPr>
                <w:t>simplified model</w:t>
              </w:r>
            </w:hyperlink>
          </w:p>
        </w:tc>
      </w:tr>
      <w:tr w:rsidR="004E4B19" w:rsidRPr="000F6EE8" w14:paraId="5B947A82" w14:textId="77777777" w:rsidTr="00387056">
        <w:tblPrEx>
          <w:tblCellMar>
            <w:left w:w="70" w:type="dxa"/>
            <w:right w:w="70" w:type="dxa"/>
          </w:tblCellMar>
        </w:tblPrEx>
        <w:tc>
          <w:tcPr>
            <w:tcW w:w="1161" w:type="dxa"/>
          </w:tcPr>
          <w:p w14:paraId="4DEF8A66" w14:textId="3D341C32" w:rsidR="004E4B19" w:rsidRPr="003F0E2F" w:rsidRDefault="004E4B19" w:rsidP="004E4B19">
            <w:pPr>
              <w:rPr>
                <w:b/>
                <w:bCs/>
                <w:color w:val="00A984"/>
                <w:sz w:val="20"/>
                <w:szCs w:val="20"/>
              </w:rPr>
            </w:pPr>
            <w:r w:rsidRPr="003F0E2F">
              <w:rPr>
                <w:b/>
                <w:bCs/>
                <w:color w:val="00A984"/>
                <w:sz w:val="20"/>
                <w:szCs w:val="20"/>
              </w:rPr>
              <w:t>Art. 30 (</w:t>
            </w:r>
            <w:r>
              <w:rPr>
                <w:b/>
                <w:bCs/>
                <w:color w:val="00A984"/>
                <w:sz w:val="20"/>
                <w:szCs w:val="20"/>
              </w:rPr>
              <w:t>3)</w:t>
            </w:r>
          </w:p>
          <w:p w14:paraId="272ED336" w14:textId="77777777" w:rsidR="004E4B19" w:rsidRPr="003F0E2F" w:rsidRDefault="004E4B19" w:rsidP="004E4B19">
            <w:pPr>
              <w:rPr>
                <w:b/>
                <w:bCs/>
                <w:color w:val="00A984"/>
                <w:sz w:val="20"/>
                <w:szCs w:val="20"/>
              </w:rPr>
            </w:pPr>
          </w:p>
        </w:tc>
        <w:tc>
          <w:tcPr>
            <w:tcW w:w="2242" w:type="dxa"/>
          </w:tcPr>
          <w:p w14:paraId="4A69808E" w14:textId="5BC16067" w:rsidR="004E4B19" w:rsidRPr="00A914B3" w:rsidRDefault="004E4B19" w:rsidP="004E4B19">
            <w:pPr>
              <w:rPr>
                <w:sz w:val="20"/>
                <w:szCs w:val="20"/>
              </w:rPr>
            </w:pPr>
            <w:r w:rsidRPr="00A914B3">
              <w:rPr>
                <w:sz w:val="20"/>
                <w:szCs w:val="20"/>
              </w:rPr>
              <w:t>Informationen für nicht maßgebliche Punkte</w:t>
            </w:r>
          </w:p>
        </w:tc>
        <w:tc>
          <w:tcPr>
            <w:tcW w:w="4394" w:type="dxa"/>
          </w:tcPr>
          <w:p w14:paraId="4C759B6E" w14:textId="730D183E" w:rsidR="004E4B19" w:rsidRPr="00820EDB" w:rsidRDefault="004E4B19" w:rsidP="004E4B19">
            <w:pPr>
              <w:rPr>
                <w:sz w:val="20"/>
                <w:szCs w:val="20"/>
              </w:rPr>
            </w:pPr>
            <w:r w:rsidRPr="00820EDB">
              <w:rPr>
                <w:sz w:val="20"/>
                <w:szCs w:val="20"/>
              </w:rPr>
              <w:t>Die prognostizierten Kapazitäten für diejenigen Punkte, die nicht zu den maßgeblichen Punkten gem. Anhang 1 Nummer 3.2 Absatz 2 der Verordnung (EG) Nr. 715/2009 gehören, sind in der prognostizierten Kapazität gem. Art. 30 (1) a) ii) bereits enthalten.</w:t>
            </w:r>
          </w:p>
        </w:tc>
        <w:tc>
          <w:tcPr>
            <w:tcW w:w="1984" w:type="dxa"/>
          </w:tcPr>
          <w:p w14:paraId="56D8AE9D" w14:textId="43C0B6DA" w:rsidR="004E4B19" w:rsidRPr="00A914B3" w:rsidRDefault="004E4B19" w:rsidP="004E4B19">
            <w:pPr>
              <w:rPr>
                <w:sz w:val="20"/>
                <w:szCs w:val="20"/>
                <w:lang w:val="en-GB"/>
              </w:rPr>
            </w:pPr>
            <w:r w:rsidRPr="00A914B3">
              <w:rPr>
                <w:sz w:val="20"/>
                <w:szCs w:val="20"/>
                <w:lang w:val="en-GB"/>
              </w:rPr>
              <w:t>Information about the points excluded from the definition of relevant points</w:t>
            </w:r>
          </w:p>
        </w:tc>
        <w:tc>
          <w:tcPr>
            <w:tcW w:w="5103" w:type="dxa"/>
          </w:tcPr>
          <w:p w14:paraId="51AFAD34" w14:textId="3309AF88" w:rsidR="004E4B19" w:rsidRPr="00820EDB" w:rsidRDefault="004E4B19" w:rsidP="004E4B19">
            <w:pPr>
              <w:rPr>
                <w:sz w:val="20"/>
                <w:szCs w:val="20"/>
                <w:lang w:val="en-GB"/>
              </w:rPr>
            </w:pPr>
            <w:r w:rsidRPr="00820EDB">
              <w:rPr>
                <w:sz w:val="20"/>
                <w:szCs w:val="20"/>
                <w:lang w:val="en-GB"/>
              </w:rPr>
              <w:t>The forecasted booked capacity for the points excluded from the definition of relevant points referred to in point 3.2 (1) a) of Annex I to Regulation No 715/2009 is already included in the capacity forecast according to Art. 30 (1) a) ii).</w:t>
            </w:r>
          </w:p>
        </w:tc>
      </w:tr>
    </w:tbl>
    <w:p w14:paraId="707BCA2D" w14:textId="77777777" w:rsidR="001025C5" w:rsidRPr="00B90A1D" w:rsidRDefault="001025C5" w:rsidP="00B90A1D">
      <w:pPr>
        <w:rPr>
          <w:lang w:val="en-GB"/>
        </w:rPr>
      </w:pPr>
    </w:p>
    <w:sectPr w:rsidR="001025C5" w:rsidRPr="00B90A1D" w:rsidSect="007339E4">
      <w:pgSz w:w="16838" w:h="11906" w:orient="landscape"/>
      <w:pgMar w:top="1417" w:right="1417"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1747" w14:textId="77777777" w:rsidR="006F50BE" w:rsidRDefault="006F50BE" w:rsidP="007339E4">
      <w:pPr>
        <w:spacing w:after="0" w:line="240" w:lineRule="auto"/>
      </w:pPr>
      <w:r>
        <w:separator/>
      </w:r>
    </w:p>
  </w:endnote>
  <w:endnote w:type="continuationSeparator" w:id="0">
    <w:p w14:paraId="3380E691" w14:textId="77777777" w:rsidR="006F50BE" w:rsidRDefault="006F50BE" w:rsidP="007339E4">
      <w:pPr>
        <w:spacing w:after="0" w:line="240" w:lineRule="auto"/>
      </w:pPr>
      <w:r>
        <w:continuationSeparator/>
      </w:r>
    </w:p>
  </w:endnote>
  <w:endnote w:type="continuationNotice" w:id="1">
    <w:p w14:paraId="4B0A2660" w14:textId="77777777" w:rsidR="006F50BE" w:rsidRDefault="006F50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DD8CC" w14:textId="77777777" w:rsidR="006F50BE" w:rsidRDefault="006F50BE" w:rsidP="007339E4">
      <w:pPr>
        <w:spacing w:after="0" w:line="240" w:lineRule="auto"/>
      </w:pPr>
      <w:r>
        <w:separator/>
      </w:r>
    </w:p>
  </w:footnote>
  <w:footnote w:type="continuationSeparator" w:id="0">
    <w:p w14:paraId="672BEADF" w14:textId="77777777" w:rsidR="006F50BE" w:rsidRDefault="006F50BE" w:rsidP="007339E4">
      <w:pPr>
        <w:spacing w:after="0" w:line="240" w:lineRule="auto"/>
      </w:pPr>
      <w:r>
        <w:continuationSeparator/>
      </w:r>
    </w:p>
  </w:footnote>
  <w:footnote w:type="continuationNotice" w:id="1">
    <w:p w14:paraId="614491D5" w14:textId="77777777" w:rsidR="006F50BE" w:rsidRDefault="006F50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90B83"/>
    <w:multiLevelType w:val="hybridMultilevel"/>
    <w:tmpl w:val="488EF9E2"/>
    <w:lvl w:ilvl="0" w:tplc="43C8A7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6AB6F08"/>
    <w:multiLevelType w:val="hybridMultilevel"/>
    <w:tmpl w:val="AF6C5C2C"/>
    <w:lvl w:ilvl="0" w:tplc="22EE66B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B96A66"/>
    <w:multiLevelType w:val="hybridMultilevel"/>
    <w:tmpl w:val="949CC35C"/>
    <w:lvl w:ilvl="0" w:tplc="7C6EEE3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07724441">
    <w:abstractNumId w:val="1"/>
  </w:num>
  <w:num w:numId="2" w16cid:durableId="943610052">
    <w:abstractNumId w:val="0"/>
  </w:num>
  <w:num w:numId="3" w16cid:durableId="84470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0"/>
  </w:compat>
  <w:rsids>
    <w:rsidRoot w:val="00586D24"/>
    <w:rsid w:val="00011D0B"/>
    <w:rsid w:val="00015832"/>
    <w:rsid w:val="00032E91"/>
    <w:rsid w:val="00040E3B"/>
    <w:rsid w:val="00050CCC"/>
    <w:rsid w:val="000517C8"/>
    <w:rsid w:val="0005337B"/>
    <w:rsid w:val="0007452E"/>
    <w:rsid w:val="000921D5"/>
    <w:rsid w:val="000B41B5"/>
    <w:rsid w:val="000B5015"/>
    <w:rsid w:val="000E7C4C"/>
    <w:rsid w:val="000F4EFB"/>
    <w:rsid w:val="000F6EE8"/>
    <w:rsid w:val="001025C5"/>
    <w:rsid w:val="00122E16"/>
    <w:rsid w:val="00125AC8"/>
    <w:rsid w:val="00125BFC"/>
    <w:rsid w:val="001666D3"/>
    <w:rsid w:val="00180E64"/>
    <w:rsid w:val="001829CB"/>
    <w:rsid w:val="001978D5"/>
    <w:rsid w:val="001A27C1"/>
    <w:rsid w:val="001C26D9"/>
    <w:rsid w:val="001C57AF"/>
    <w:rsid w:val="001D724D"/>
    <w:rsid w:val="001E491B"/>
    <w:rsid w:val="00240929"/>
    <w:rsid w:val="00244045"/>
    <w:rsid w:val="00275C7A"/>
    <w:rsid w:val="00282F93"/>
    <w:rsid w:val="002B6D09"/>
    <w:rsid w:val="002C76D7"/>
    <w:rsid w:val="002D00E5"/>
    <w:rsid w:val="00315B3D"/>
    <w:rsid w:val="0031648D"/>
    <w:rsid w:val="00325818"/>
    <w:rsid w:val="003519C7"/>
    <w:rsid w:val="00361EBD"/>
    <w:rsid w:val="003716BF"/>
    <w:rsid w:val="00384DFF"/>
    <w:rsid w:val="00387056"/>
    <w:rsid w:val="00390362"/>
    <w:rsid w:val="003B2256"/>
    <w:rsid w:val="003B7458"/>
    <w:rsid w:val="003D070F"/>
    <w:rsid w:val="003D6FE6"/>
    <w:rsid w:val="003E10A2"/>
    <w:rsid w:val="003F0E2F"/>
    <w:rsid w:val="003F37C0"/>
    <w:rsid w:val="0040010A"/>
    <w:rsid w:val="00410168"/>
    <w:rsid w:val="004155A9"/>
    <w:rsid w:val="0041799A"/>
    <w:rsid w:val="004351F7"/>
    <w:rsid w:val="004359B1"/>
    <w:rsid w:val="00447B58"/>
    <w:rsid w:val="004557EA"/>
    <w:rsid w:val="00463656"/>
    <w:rsid w:val="00473951"/>
    <w:rsid w:val="004830BE"/>
    <w:rsid w:val="004847EF"/>
    <w:rsid w:val="00487189"/>
    <w:rsid w:val="00496220"/>
    <w:rsid w:val="004C7551"/>
    <w:rsid w:val="004D78E6"/>
    <w:rsid w:val="004E0A97"/>
    <w:rsid w:val="004E4B19"/>
    <w:rsid w:val="00502661"/>
    <w:rsid w:val="00512A97"/>
    <w:rsid w:val="00532D01"/>
    <w:rsid w:val="0053622B"/>
    <w:rsid w:val="00540E4C"/>
    <w:rsid w:val="00541CA4"/>
    <w:rsid w:val="00555D8A"/>
    <w:rsid w:val="00557CAE"/>
    <w:rsid w:val="0056046D"/>
    <w:rsid w:val="00571351"/>
    <w:rsid w:val="00586D24"/>
    <w:rsid w:val="005962A0"/>
    <w:rsid w:val="005A6220"/>
    <w:rsid w:val="005C1DA0"/>
    <w:rsid w:val="005C4F32"/>
    <w:rsid w:val="005D1F01"/>
    <w:rsid w:val="005D3976"/>
    <w:rsid w:val="005E1D73"/>
    <w:rsid w:val="005F3693"/>
    <w:rsid w:val="00601A39"/>
    <w:rsid w:val="0061176C"/>
    <w:rsid w:val="006166C6"/>
    <w:rsid w:val="00624B96"/>
    <w:rsid w:val="00627B47"/>
    <w:rsid w:val="00637128"/>
    <w:rsid w:val="00640694"/>
    <w:rsid w:val="00646ED5"/>
    <w:rsid w:val="00656427"/>
    <w:rsid w:val="00671F0B"/>
    <w:rsid w:val="00676A75"/>
    <w:rsid w:val="006827E5"/>
    <w:rsid w:val="00684DC8"/>
    <w:rsid w:val="00694168"/>
    <w:rsid w:val="006951B9"/>
    <w:rsid w:val="006A4BF3"/>
    <w:rsid w:val="006B5726"/>
    <w:rsid w:val="006C205E"/>
    <w:rsid w:val="006C428A"/>
    <w:rsid w:val="006D6A98"/>
    <w:rsid w:val="006D73F2"/>
    <w:rsid w:val="006E2DCF"/>
    <w:rsid w:val="006F50BE"/>
    <w:rsid w:val="006F745F"/>
    <w:rsid w:val="00711639"/>
    <w:rsid w:val="00713E9A"/>
    <w:rsid w:val="00715181"/>
    <w:rsid w:val="00723700"/>
    <w:rsid w:val="007277FF"/>
    <w:rsid w:val="007339E4"/>
    <w:rsid w:val="00750642"/>
    <w:rsid w:val="00765D91"/>
    <w:rsid w:val="0076762B"/>
    <w:rsid w:val="007679D4"/>
    <w:rsid w:val="0077588D"/>
    <w:rsid w:val="00792515"/>
    <w:rsid w:val="00795D87"/>
    <w:rsid w:val="007C1594"/>
    <w:rsid w:val="007C342D"/>
    <w:rsid w:val="007C4F5D"/>
    <w:rsid w:val="007C6279"/>
    <w:rsid w:val="007C7C56"/>
    <w:rsid w:val="007D7F44"/>
    <w:rsid w:val="007E1A71"/>
    <w:rsid w:val="007F0336"/>
    <w:rsid w:val="007F093C"/>
    <w:rsid w:val="00820EDB"/>
    <w:rsid w:val="008425BE"/>
    <w:rsid w:val="00844C6C"/>
    <w:rsid w:val="00851983"/>
    <w:rsid w:val="008569C9"/>
    <w:rsid w:val="008631F7"/>
    <w:rsid w:val="00867109"/>
    <w:rsid w:val="00872C2A"/>
    <w:rsid w:val="00875452"/>
    <w:rsid w:val="008A1F96"/>
    <w:rsid w:val="008C1063"/>
    <w:rsid w:val="008D0949"/>
    <w:rsid w:val="008D0A09"/>
    <w:rsid w:val="008D19C0"/>
    <w:rsid w:val="009050D8"/>
    <w:rsid w:val="00907D57"/>
    <w:rsid w:val="0091622A"/>
    <w:rsid w:val="00920F64"/>
    <w:rsid w:val="00930804"/>
    <w:rsid w:val="00997A3A"/>
    <w:rsid w:val="009B55D3"/>
    <w:rsid w:val="009B6D1E"/>
    <w:rsid w:val="009F76C3"/>
    <w:rsid w:val="00A04312"/>
    <w:rsid w:val="00A106FB"/>
    <w:rsid w:val="00A20C3C"/>
    <w:rsid w:val="00A34D24"/>
    <w:rsid w:val="00A47444"/>
    <w:rsid w:val="00A5636E"/>
    <w:rsid w:val="00A626F6"/>
    <w:rsid w:val="00A64D57"/>
    <w:rsid w:val="00A76E14"/>
    <w:rsid w:val="00A77C5F"/>
    <w:rsid w:val="00A914B3"/>
    <w:rsid w:val="00AB65FD"/>
    <w:rsid w:val="00AD1DCE"/>
    <w:rsid w:val="00AD2E0A"/>
    <w:rsid w:val="00AD61B4"/>
    <w:rsid w:val="00AE0151"/>
    <w:rsid w:val="00AE1771"/>
    <w:rsid w:val="00AF73A2"/>
    <w:rsid w:val="00B02C1E"/>
    <w:rsid w:val="00B03B6B"/>
    <w:rsid w:val="00B2452F"/>
    <w:rsid w:val="00B26E71"/>
    <w:rsid w:val="00B3790D"/>
    <w:rsid w:val="00B54B24"/>
    <w:rsid w:val="00B6485A"/>
    <w:rsid w:val="00B83B31"/>
    <w:rsid w:val="00B90A1D"/>
    <w:rsid w:val="00BA2830"/>
    <w:rsid w:val="00BB4E2D"/>
    <w:rsid w:val="00BC120C"/>
    <w:rsid w:val="00BE0F29"/>
    <w:rsid w:val="00BE4E9E"/>
    <w:rsid w:val="00C04BD8"/>
    <w:rsid w:val="00C11C87"/>
    <w:rsid w:val="00C36BCB"/>
    <w:rsid w:val="00C36DC2"/>
    <w:rsid w:val="00C4218C"/>
    <w:rsid w:val="00C56284"/>
    <w:rsid w:val="00C61DA2"/>
    <w:rsid w:val="00C6646C"/>
    <w:rsid w:val="00C72218"/>
    <w:rsid w:val="00C824F7"/>
    <w:rsid w:val="00C97345"/>
    <w:rsid w:val="00CA57D2"/>
    <w:rsid w:val="00CB4CD7"/>
    <w:rsid w:val="00CD5236"/>
    <w:rsid w:val="00D12D7A"/>
    <w:rsid w:val="00D36720"/>
    <w:rsid w:val="00D465CB"/>
    <w:rsid w:val="00D63CCB"/>
    <w:rsid w:val="00D82F89"/>
    <w:rsid w:val="00D8776B"/>
    <w:rsid w:val="00D94337"/>
    <w:rsid w:val="00D943BE"/>
    <w:rsid w:val="00DC0439"/>
    <w:rsid w:val="00DC2B59"/>
    <w:rsid w:val="00DC2C52"/>
    <w:rsid w:val="00DC42EE"/>
    <w:rsid w:val="00DD0D9B"/>
    <w:rsid w:val="00DD1474"/>
    <w:rsid w:val="00DD33A4"/>
    <w:rsid w:val="00DE39B3"/>
    <w:rsid w:val="00DF1BD4"/>
    <w:rsid w:val="00E066F4"/>
    <w:rsid w:val="00E11B2D"/>
    <w:rsid w:val="00E11C9A"/>
    <w:rsid w:val="00E204F9"/>
    <w:rsid w:val="00E27FC8"/>
    <w:rsid w:val="00E44A61"/>
    <w:rsid w:val="00E50B3B"/>
    <w:rsid w:val="00E54B7F"/>
    <w:rsid w:val="00E60475"/>
    <w:rsid w:val="00E759D6"/>
    <w:rsid w:val="00E779B6"/>
    <w:rsid w:val="00E84E84"/>
    <w:rsid w:val="00E92059"/>
    <w:rsid w:val="00EB7D60"/>
    <w:rsid w:val="00ED30B4"/>
    <w:rsid w:val="00ED31C9"/>
    <w:rsid w:val="00EE2022"/>
    <w:rsid w:val="00EF2F8A"/>
    <w:rsid w:val="00F03C6A"/>
    <w:rsid w:val="00F05126"/>
    <w:rsid w:val="00F11DFC"/>
    <w:rsid w:val="00F12E92"/>
    <w:rsid w:val="00F62373"/>
    <w:rsid w:val="00F66343"/>
    <w:rsid w:val="00FB63CF"/>
    <w:rsid w:val="00FC7C41"/>
    <w:rsid w:val="00FF084C"/>
    <w:rsid w:val="00FF7B11"/>
    <w:rsid w:val="13649CF3"/>
    <w:rsid w:val="13B8D67B"/>
    <w:rsid w:val="52531F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229E"/>
  <w15:chartTrackingRefBased/>
  <w15:docId w15:val="{3FCCC75A-C055-4B66-98D8-1761B24C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F89"/>
  </w:style>
  <w:style w:type="paragraph" w:styleId="berschrift2">
    <w:name w:val="heading 2"/>
    <w:basedOn w:val="Standard"/>
    <w:link w:val="berschrift2Zchn"/>
    <w:uiPriority w:val="9"/>
    <w:qFormat/>
    <w:rsid w:val="003F0E2F"/>
    <w:pPr>
      <w:spacing w:before="100" w:beforeAutospacing="1" w:after="100" w:afterAutospacing="1" w:line="240" w:lineRule="auto"/>
      <w:outlineLvl w:val="1"/>
    </w:pPr>
    <w:rPr>
      <w:rFonts w:ascii="Calibri" w:eastAsia="Calibri" w:hAnsi="Calibri" w:cs="Calibri"/>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aliases w:val="SDö_Überschrift_1"/>
    <w:basedOn w:val="Standard"/>
    <w:next w:val="Standard"/>
    <w:link w:val="IntensivesZitatZchn"/>
    <w:uiPriority w:val="30"/>
    <w:qFormat/>
    <w:rsid w:val="004C7551"/>
    <w:pPr>
      <w:pBdr>
        <w:top w:val="single" w:sz="4" w:space="10" w:color="auto"/>
        <w:bottom w:val="single" w:sz="4" w:space="10" w:color="auto"/>
      </w:pBdr>
      <w:spacing w:before="360" w:after="360"/>
      <w:ind w:left="864" w:right="864"/>
      <w:jc w:val="center"/>
    </w:pPr>
    <w:rPr>
      <w:i/>
      <w:iCs/>
      <w:sz w:val="24"/>
    </w:rPr>
  </w:style>
  <w:style w:type="character" w:customStyle="1" w:styleId="IntensivesZitatZchn">
    <w:name w:val="Intensives Zitat Zchn"/>
    <w:aliases w:val="SDö_Überschrift_1 Zchn"/>
    <w:basedOn w:val="Absatz-Standardschriftart"/>
    <w:link w:val="IntensivesZitat"/>
    <w:uiPriority w:val="30"/>
    <w:rsid w:val="004C7551"/>
    <w:rPr>
      <w:i/>
      <w:iCs/>
      <w:sz w:val="24"/>
    </w:rPr>
  </w:style>
  <w:style w:type="paragraph" w:styleId="Sprechblasentext">
    <w:name w:val="Balloon Text"/>
    <w:basedOn w:val="Standard"/>
    <w:link w:val="SprechblasentextZchn"/>
    <w:uiPriority w:val="99"/>
    <w:semiHidden/>
    <w:unhideWhenUsed/>
    <w:rsid w:val="00586D24"/>
    <w:pPr>
      <w:spacing w:after="0" w:line="240" w:lineRule="auto"/>
    </w:pPr>
    <w:rPr>
      <w:rFonts w:ascii="Cambria Math" w:hAnsi="Cambria Math" w:cs="Cambria Math"/>
      <w:sz w:val="18"/>
      <w:szCs w:val="18"/>
    </w:rPr>
  </w:style>
  <w:style w:type="character" w:customStyle="1" w:styleId="SprechblasentextZchn">
    <w:name w:val="Sprechblasentext Zchn"/>
    <w:basedOn w:val="Absatz-Standardschriftart"/>
    <w:link w:val="Sprechblasentext"/>
    <w:uiPriority w:val="99"/>
    <w:semiHidden/>
    <w:rsid w:val="00586D24"/>
    <w:rPr>
      <w:rFonts w:ascii="Cambria Math" w:hAnsi="Cambria Math" w:cs="Cambria Math"/>
      <w:sz w:val="18"/>
      <w:szCs w:val="18"/>
    </w:rPr>
  </w:style>
  <w:style w:type="table" w:styleId="Tabellenraster">
    <w:name w:val="Table Grid"/>
    <w:basedOn w:val="NormaleTabelle"/>
    <w:uiPriority w:val="39"/>
    <w:rsid w:val="0058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0C3C"/>
    <w:rPr>
      <w:color w:val="0563C1" w:themeColor="hyperlink"/>
      <w:u w:val="single"/>
    </w:rPr>
  </w:style>
  <w:style w:type="character" w:styleId="NichtaufgelsteErwhnung">
    <w:name w:val="Unresolved Mention"/>
    <w:basedOn w:val="Absatz-Standardschriftart"/>
    <w:uiPriority w:val="99"/>
    <w:semiHidden/>
    <w:unhideWhenUsed/>
    <w:rsid w:val="00A20C3C"/>
    <w:rPr>
      <w:color w:val="605E5C"/>
      <w:shd w:val="clear" w:color="auto" w:fill="E1DFDD"/>
    </w:rPr>
  </w:style>
  <w:style w:type="character" w:styleId="BesuchterLink">
    <w:name w:val="FollowedHyperlink"/>
    <w:basedOn w:val="Absatz-Standardschriftart"/>
    <w:uiPriority w:val="99"/>
    <w:semiHidden/>
    <w:unhideWhenUsed/>
    <w:rsid w:val="007C6279"/>
    <w:rPr>
      <w:color w:val="954F72" w:themeColor="followedHyperlink"/>
      <w:u w:val="single"/>
    </w:rPr>
  </w:style>
  <w:style w:type="character" w:customStyle="1" w:styleId="berschrift2Zchn">
    <w:name w:val="Überschrift 2 Zchn"/>
    <w:basedOn w:val="Absatz-Standardschriftart"/>
    <w:link w:val="berschrift2"/>
    <w:uiPriority w:val="9"/>
    <w:rsid w:val="003F0E2F"/>
    <w:rPr>
      <w:rFonts w:ascii="Calibri" w:eastAsia="Calibri" w:hAnsi="Calibri" w:cs="Calibri"/>
      <w:b/>
      <w:bCs/>
      <w:sz w:val="36"/>
      <w:szCs w:val="36"/>
      <w:lang w:eastAsia="de-DE"/>
    </w:rPr>
  </w:style>
  <w:style w:type="paragraph" w:styleId="Kopfzeile">
    <w:name w:val="header"/>
    <w:basedOn w:val="Standard"/>
    <w:link w:val="KopfzeileZchn"/>
    <w:uiPriority w:val="99"/>
    <w:unhideWhenUsed/>
    <w:rsid w:val="007339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39E4"/>
  </w:style>
  <w:style w:type="paragraph" w:styleId="Fuzeile">
    <w:name w:val="footer"/>
    <w:basedOn w:val="Standard"/>
    <w:link w:val="FuzeileZchn"/>
    <w:uiPriority w:val="99"/>
    <w:unhideWhenUsed/>
    <w:rsid w:val="007339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39E4"/>
  </w:style>
  <w:style w:type="character" w:styleId="Kommentarzeichen">
    <w:name w:val="annotation reference"/>
    <w:basedOn w:val="Absatz-Standardschriftart"/>
    <w:semiHidden/>
    <w:unhideWhenUsed/>
    <w:rsid w:val="00315B3D"/>
    <w:rPr>
      <w:sz w:val="16"/>
      <w:szCs w:val="16"/>
    </w:rPr>
  </w:style>
  <w:style w:type="paragraph" w:styleId="Kommentartext">
    <w:name w:val="annotation text"/>
    <w:basedOn w:val="Standard"/>
    <w:link w:val="KommentartextZchn"/>
    <w:unhideWhenUsed/>
    <w:rsid w:val="00315B3D"/>
    <w:pPr>
      <w:spacing w:line="240" w:lineRule="auto"/>
    </w:pPr>
    <w:rPr>
      <w:sz w:val="20"/>
      <w:szCs w:val="20"/>
    </w:rPr>
  </w:style>
  <w:style w:type="character" w:customStyle="1" w:styleId="KommentartextZchn">
    <w:name w:val="Kommentartext Zchn"/>
    <w:basedOn w:val="Absatz-Standardschriftart"/>
    <w:link w:val="Kommentartext"/>
    <w:rsid w:val="00315B3D"/>
    <w:rPr>
      <w:sz w:val="20"/>
      <w:szCs w:val="20"/>
    </w:rPr>
  </w:style>
  <w:style w:type="paragraph" w:styleId="Kommentarthema">
    <w:name w:val="annotation subject"/>
    <w:basedOn w:val="Kommentartext"/>
    <w:next w:val="Kommentartext"/>
    <w:link w:val="KommentarthemaZchn"/>
    <w:uiPriority w:val="99"/>
    <w:semiHidden/>
    <w:unhideWhenUsed/>
    <w:rsid w:val="00315B3D"/>
    <w:rPr>
      <w:b/>
      <w:bCs/>
    </w:rPr>
  </w:style>
  <w:style w:type="character" w:customStyle="1" w:styleId="KommentarthemaZchn">
    <w:name w:val="Kommentarthema Zchn"/>
    <w:basedOn w:val="KommentartextZchn"/>
    <w:link w:val="Kommentarthema"/>
    <w:uiPriority w:val="99"/>
    <w:semiHidden/>
    <w:rsid w:val="00315B3D"/>
    <w:rPr>
      <w:b/>
      <w:bCs/>
      <w:sz w:val="20"/>
      <w:szCs w:val="20"/>
    </w:rPr>
  </w:style>
  <w:style w:type="paragraph" w:styleId="Listenabsatz">
    <w:name w:val="List Paragraph"/>
    <w:basedOn w:val="Standard"/>
    <w:uiPriority w:val="34"/>
    <w:qFormat/>
    <w:rsid w:val="002B6D09"/>
    <w:pPr>
      <w:ind w:left="720"/>
      <w:contextualSpacing/>
    </w:pPr>
  </w:style>
  <w:style w:type="paragraph" w:styleId="berarbeitung">
    <w:name w:val="Revision"/>
    <w:hidden/>
    <w:uiPriority w:val="99"/>
    <w:semiHidden/>
    <w:rsid w:val="00125AC8"/>
    <w:pPr>
      <w:spacing w:after="0" w:line="240" w:lineRule="auto"/>
    </w:pPr>
  </w:style>
  <w:style w:type="character" w:customStyle="1" w:styleId="normaltextrun">
    <w:name w:val="normaltextrun"/>
    <w:basedOn w:val="Absatz-Standardschriftart"/>
    <w:rsid w:val="005962A0"/>
  </w:style>
  <w:style w:type="character" w:customStyle="1" w:styleId="eop">
    <w:name w:val="eop"/>
    <w:basedOn w:val="Absatz-Standardschriftart"/>
    <w:rsid w:val="005962A0"/>
  </w:style>
  <w:style w:type="paragraph" w:customStyle="1" w:styleId="paragraph">
    <w:name w:val="paragraph"/>
    <w:basedOn w:val="Standard"/>
    <w:rsid w:val="007C342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9874">
      <w:bodyDiv w:val="1"/>
      <w:marLeft w:val="0"/>
      <w:marRight w:val="0"/>
      <w:marTop w:val="0"/>
      <w:marBottom w:val="0"/>
      <w:divBdr>
        <w:top w:val="none" w:sz="0" w:space="0" w:color="auto"/>
        <w:left w:val="none" w:sz="0" w:space="0" w:color="auto"/>
        <w:bottom w:val="none" w:sz="0" w:space="0" w:color="auto"/>
        <w:right w:val="none" w:sz="0" w:space="0" w:color="auto"/>
      </w:divBdr>
    </w:div>
    <w:div w:id="54934099">
      <w:bodyDiv w:val="1"/>
      <w:marLeft w:val="0"/>
      <w:marRight w:val="0"/>
      <w:marTop w:val="0"/>
      <w:marBottom w:val="0"/>
      <w:divBdr>
        <w:top w:val="none" w:sz="0" w:space="0" w:color="auto"/>
        <w:left w:val="none" w:sz="0" w:space="0" w:color="auto"/>
        <w:bottom w:val="none" w:sz="0" w:space="0" w:color="auto"/>
        <w:right w:val="none" w:sz="0" w:space="0" w:color="auto"/>
      </w:divBdr>
      <w:divsChild>
        <w:div w:id="2089183520">
          <w:marLeft w:val="0"/>
          <w:marRight w:val="0"/>
          <w:marTop w:val="0"/>
          <w:marBottom w:val="0"/>
          <w:divBdr>
            <w:top w:val="none" w:sz="0" w:space="0" w:color="auto"/>
            <w:left w:val="none" w:sz="0" w:space="0" w:color="auto"/>
            <w:bottom w:val="none" w:sz="0" w:space="0" w:color="auto"/>
            <w:right w:val="none" w:sz="0" w:space="0" w:color="auto"/>
          </w:divBdr>
        </w:div>
        <w:div w:id="245261749">
          <w:marLeft w:val="0"/>
          <w:marRight w:val="0"/>
          <w:marTop w:val="0"/>
          <w:marBottom w:val="0"/>
          <w:divBdr>
            <w:top w:val="none" w:sz="0" w:space="0" w:color="auto"/>
            <w:left w:val="none" w:sz="0" w:space="0" w:color="auto"/>
            <w:bottom w:val="none" w:sz="0" w:space="0" w:color="auto"/>
            <w:right w:val="none" w:sz="0" w:space="0" w:color="auto"/>
          </w:divBdr>
        </w:div>
      </w:divsChild>
    </w:div>
    <w:div w:id="146753523">
      <w:bodyDiv w:val="1"/>
      <w:marLeft w:val="0"/>
      <w:marRight w:val="0"/>
      <w:marTop w:val="0"/>
      <w:marBottom w:val="0"/>
      <w:divBdr>
        <w:top w:val="none" w:sz="0" w:space="0" w:color="auto"/>
        <w:left w:val="none" w:sz="0" w:space="0" w:color="auto"/>
        <w:bottom w:val="none" w:sz="0" w:space="0" w:color="auto"/>
        <w:right w:val="none" w:sz="0" w:space="0" w:color="auto"/>
      </w:divBdr>
    </w:div>
    <w:div w:id="175734274">
      <w:bodyDiv w:val="1"/>
      <w:marLeft w:val="0"/>
      <w:marRight w:val="0"/>
      <w:marTop w:val="0"/>
      <w:marBottom w:val="0"/>
      <w:divBdr>
        <w:top w:val="none" w:sz="0" w:space="0" w:color="auto"/>
        <w:left w:val="none" w:sz="0" w:space="0" w:color="auto"/>
        <w:bottom w:val="none" w:sz="0" w:space="0" w:color="auto"/>
        <w:right w:val="none" w:sz="0" w:space="0" w:color="auto"/>
      </w:divBdr>
    </w:div>
    <w:div w:id="224802390">
      <w:bodyDiv w:val="1"/>
      <w:marLeft w:val="0"/>
      <w:marRight w:val="0"/>
      <w:marTop w:val="0"/>
      <w:marBottom w:val="0"/>
      <w:divBdr>
        <w:top w:val="none" w:sz="0" w:space="0" w:color="auto"/>
        <w:left w:val="none" w:sz="0" w:space="0" w:color="auto"/>
        <w:bottom w:val="none" w:sz="0" w:space="0" w:color="auto"/>
        <w:right w:val="none" w:sz="0" w:space="0" w:color="auto"/>
      </w:divBdr>
    </w:div>
    <w:div w:id="264075262">
      <w:bodyDiv w:val="1"/>
      <w:marLeft w:val="0"/>
      <w:marRight w:val="0"/>
      <w:marTop w:val="0"/>
      <w:marBottom w:val="0"/>
      <w:divBdr>
        <w:top w:val="none" w:sz="0" w:space="0" w:color="auto"/>
        <w:left w:val="none" w:sz="0" w:space="0" w:color="auto"/>
        <w:bottom w:val="none" w:sz="0" w:space="0" w:color="auto"/>
        <w:right w:val="none" w:sz="0" w:space="0" w:color="auto"/>
      </w:divBdr>
      <w:divsChild>
        <w:div w:id="1735079757">
          <w:marLeft w:val="0"/>
          <w:marRight w:val="0"/>
          <w:marTop w:val="0"/>
          <w:marBottom w:val="0"/>
          <w:divBdr>
            <w:top w:val="none" w:sz="0" w:space="0" w:color="auto"/>
            <w:left w:val="none" w:sz="0" w:space="0" w:color="auto"/>
            <w:bottom w:val="none" w:sz="0" w:space="0" w:color="auto"/>
            <w:right w:val="none" w:sz="0" w:space="0" w:color="auto"/>
          </w:divBdr>
        </w:div>
      </w:divsChild>
    </w:div>
    <w:div w:id="288710947">
      <w:bodyDiv w:val="1"/>
      <w:marLeft w:val="0"/>
      <w:marRight w:val="0"/>
      <w:marTop w:val="0"/>
      <w:marBottom w:val="0"/>
      <w:divBdr>
        <w:top w:val="none" w:sz="0" w:space="0" w:color="auto"/>
        <w:left w:val="none" w:sz="0" w:space="0" w:color="auto"/>
        <w:bottom w:val="none" w:sz="0" w:space="0" w:color="auto"/>
        <w:right w:val="none" w:sz="0" w:space="0" w:color="auto"/>
      </w:divBdr>
    </w:div>
    <w:div w:id="331839550">
      <w:bodyDiv w:val="1"/>
      <w:marLeft w:val="0"/>
      <w:marRight w:val="0"/>
      <w:marTop w:val="0"/>
      <w:marBottom w:val="0"/>
      <w:divBdr>
        <w:top w:val="none" w:sz="0" w:space="0" w:color="auto"/>
        <w:left w:val="none" w:sz="0" w:space="0" w:color="auto"/>
        <w:bottom w:val="none" w:sz="0" w:space="0" w:color="auto"/>
        <w:right w:val="none" w:sz="0" w:space="0" w:color="auto"/>
      </w:divBdr>
    </w:div>
    <w:div w:id="355548466">
      <w:bodyDiv w:val="1"/>
      <w:marLeft w:val="0"/>
      <w:marRight w:val="0"/>
      <w:marTop w:val="0"/>
      <w:marBottom w:val="0"/>
      <w:divBdr>
        <w:top w:val="none" w:sz="0" w:space="0" w:color="auto"/>
        <w:left w:val="none" w:sz="0" w:space="0" w:color="auto"/>
        <w:bottom w:val="none" w:sz="0" w:space="0" w:color="auto"/>
        <w:right w:val="none" w:sz="0" w:space="0" w:color="auto"/>
      </w:divBdr>
      <w:divsChild>
        <w:div w:id="174417978">
          <w:marLeft w:val="0"/>
          <w:marRight w:val="0"/>
          <w:marTop w:val="0"/>
          <w:marBottom w:val="0"/>
          <w:divBdr>
            <w:top w:val="none" w:sz="0" w:space="0" w:color="auto"/>
            <w:left w:val="none" w:sz="0" w:space="0" w:color="auto"/>
            <w:bottom w:val="none" w:sz="0" w:space="0" w:color="auto"/>
            <w:right w:val="none" w:sz="0" w:space="0" w:color="auto"/>
          </w:divBdr>
        </w:div>
      </w:divsChild>
    </w:div>
    <w:div w:id="409891849">
      <w:bodyDiv w:val="1"/>
      <w:marLeft w:val="0"/>
      <w:marRight w:val="0"/>
      <w:marTop w:val="0"/>
      <w:marBottom w:val="0"/>
      <w:divBdr>
        <w:top w:val="none" w:sz="0" w:space="0" w:color="auto"/>
        <w:left w:val="none" w:sz="0" w:space="0" w:color="auto"/>
        <w:bottom w:val="none" w:sz="0" w:space="0" w:color="auto"/>
        <w:right w:val="none" w:sz="0" w:space="0" w:color="auto"/>
      </w:divBdr>
    </w:div>
    <w:div w:id="445930682">
      <w:bodyDiv w:val="1"/>
      <w:marLeft w:val="0"/>
      <w:marRight w:val="0"/>
      <w:marTop w:val="0"/>
      <w:marBottom w:val="0"/>
      <w:divBdr>
        <w:top w:val="none" w:sz="0" w:space="0" w:color="auto"/>
        <w:left w:val="none" w:sz="0" w:space="0" w:color="auto"/>
        <w:bottom w:val="none" w:sz="0" w:space="0" w:color="auto"/>
        <w:right w:val="none" w:sz="0" w:space="0" w:color="auto"/>
      </w:divBdr>
      <w:divsChild>
        <w:div w:id="1400981056">
          <w:marLeft w:val="0"/>
          <w:marRight w:val="0"/>
          <w:marTop w:val="0"/>
          <w:marBottom w:val="0"/>
          <w:divBdr>
            <w:top w:val="none" w:sz="0" w:space="0" w:color="auto"/>
            <w:left w:val="none" w:sz="0" w:space="0" w:color="auto"/>
            <w:bottom w:val="none" w:sz="0" w:space="0" w:color="auto"/>
            <w:right w:val="none" w:sz="0" w:space="0" w:color="auto"/>
          </w:divBdr>
        </w:div>
      </w:divsChild>
    </w:div>
    <w:div w:id="470293844">
      <w:bodyDiv w:val="1"/>
      <w:marLeft w:val="0"/>
      <w:marRight w:val="0"/>
      <w:marTop w:val="0"/>
      <w:marBottom w:val="0"/>
      <w:divBdr>
        <w:top w:val="none" w:sz="0" w:space="0" w:color="auto"/>
        <w:left w:val="none" w:sz="0" w:space="0" w:color="auto"/>
        <w:bottom w:val="none" w:sz="0" w:space="0" w:color="auto"/>
        <w:right w:val="none" w:sz="0" w:space="0" w:color="auto"/>
      </w:divBdr>
    </w:div>
    <w:div w:id="492916826">
      <w:bodyDiv w:val="1"/>
      <w:marLeft w:val="0"/>
      <w:marRight w:val="0"/>
      <w:marTop w:val="0"/>
      <w:marBottom w:val="0"/>
      <w:divBdr>
        <w:top w:val="none" w:sz="0" w:space="0" w:color="auto"/>
        <w:left w:val="none" w:sz="0" w:space="0" w:color="auto"/>
        <w:bottom w:val="none" w:sz="0" w:space="0" w:color="auto"/>
        <w:right w:val="none" w:sz="0" w:space="0" w:color="auto"/>
      </w:divBdr>
    </w:div>
    <w:div w:id="551114728">
      <w:bodyDiv w:val="1"/>
      <w:marLeft w:val="0"/>
      <w:marRight w:val="0"/>
      <w:marTop w:val="0"/>
      <w:marBottom w:val="0"/>
      <w:divBdr>
        <w:top w:val="none" w:sz="0" w:space="0" w:color="auto"/>
        <w:left w:val="none" w:sz="0" w:space="0" w:color="auto"/>
        <w:bottom w:val="none" w:sz="0" w:space="0" w:color="auto"/>
        <w:right w:val="none" w:sz="0" w:space="0" w:color="auto"/>
      </w:divBdr>
      <w:divsChild>
        <w:div w:id="96215156">
          <w:marLeft w:val="0"/>
          <w:marRight w:val="0"/>
          <w:marTop w:val="0"/>
          <w:marBottom w:val="0"/>
          <w:divBdr>
            <w:top w:val="none" w:sz="0" w:space="0" w:color="auto"/>
            <w:left w:val="none" w:sz="0" w:space="0" w:color="auto"/>
            <w:bottom w:val="none" w:sz="0" w:space="0" w:color="auto"/>
            <w:right w:val="none" w:sz="0" w:space="0" w:color="auto"/>
          </w:divBdr>
        </w:div>
        <w:div w:id="540557914">
          <w:marLeft w:val="0"/>
          <w:marRight w:val="0"/>
          <w:marTop w:val="0"/>
          <w:marBottom w:val="0"/>
          <w:divBdr>
            <w:top w:val="none" w:sz="0" w:space="0" w:color="auto"/>
            <w:left w:val="none" w:sz="0" w:space="0" w:color="auto"/>
            <w:bottom w:val="none" w:sz="0" w:space="0" w:color="auto"/>
            <w:right w:val="none" w:sz="0" w:space="0" w:color="auto"/>
          </w:divBdr>
        </w:div>
      </w:divsChild>
    </w:div>
    <w:div w:id="698548533">
      <w:bodyDiv w:val="1"/>
      <w:marLeft w:val="0"/>
      <w:marRight w:val="0"/>
      <w:marTop w:val="0"/>
      <w:marBottom w:val="0"/>
      <w:divBdr>
        <w:top w:val="none" w:sz="0" w:space="0" w:color="auto"/>
        <w:left w:val="none" w:sz="0" w:space="0" w:color="auto"/>
        <w:bottom w:val="none" w:sz="0" w:space="0" w:color="auto"/>
        <w:right w:val="none" w:sz="0" w:space="0" w:color="auto"/>
      </w:divBdr>
    </w:div>
    <w:div w:id="827406553">
      <w:bodyDiv w:val="1"/>
      <w:marLeft w:val="0"/>
      <w:marRight w:val="0"/>
      <w:marTop w:val="0"/>
      <w:marBottom w:val="0"/>
      <w:divBdr>
        <w:top w:val="none" w:sz="0" w:space="0" w:color="auto"/>
        <w:left w:val="none" w:sz="0" w:space="0" w:color="auto"/>
        <w:bottom w:val="none" w:sz="0" w:space="0" w:color="auto"/>
        <w:right w:val="none" w:sz="0" w:space="0" w:color="auto"/>
      </w:divBdr>
      <w:divsChild>
        <w:div w:id="181864551">
          <w:marLeft w:val="0"/>
          <w:marRight w:val="0"/>
          <w:marTop w:val="0"/>
          <w:marBottom w:val="0"/>
          <w:divBdr>
            <w:top w:val="none" w:sz="0" w:space="0" w:color="auto"/>
            <w:left w:val="none" w:sz="0" w:space="0" w:color="auto"/>
            <w:bottom w:val="none" w:sz="0" w:space="0" w:color="auto"/>
            <w:right w:val="none" w:sz="0" w:space="0" w:color="auto"/>
          </w:divBdr>
        </w:div>
        <w:div w:id="1941639502">
          <w:marLeft w:val="0"/>
          <w:marRight w:val="0"/>
          <w:marTop w:val="0"/>
          <w:marBottom w:val="0"/>
          <w:divBdr>
            <w:top w:val="none" w:sz="0" w:space="0" w:color="auto"/>
            <w:left w:val="none" w:sz="0" w:space="0" w:color="auto"/>
            <w:bottom w:val="none" w:sz="0" w:space="0" w:color="auto"/>
            <w:right w:val="none" w:sz="0" w:space="0" w:color="auto"/>
          </w:divBdr>
        </w:div>
        <w:div w:id="1622226218">
          <w:marLeft w:val="0"/>
          <w:marRight w:val="0"/>
          <w:marTop w:val="0"/>
          <w:marBottom w:val="0"/>
          <w:divBdr>
            <w:top w:val="none" w:sz="0" w:space="0" w:color="auto"/>
            <w:left w:val="none" w:sz="0" w:space="0" w:color="auto"/>
            <w:bottom w:val="none" w:sz="0" w:space="0" w:color="auto"/>
            <w:right w:val="none" w:sz="0" w:space="0" w:color="auto"/>
          </w:divBdr>
        </w:div>
        <w:div w:id="607584558">
          <w:marLeft w:val="0"/>
          <w:marRight w:val="0"/>
          <w:marTop w:val="0"/>
          <w:marBottom w:val="0"/>
          <w:divBdr>
            <w:top w:val="none" w:sz="0" w:space="0" w:color="auto"/>
            <w:left w:val="none" w:sz="0" w:space="0" w:color="auto"/>
            <w:bottom w:val="none" w:sz="0" w:space="0" w:color="auto"/>
            <w:right w:val="none" w:sz="0" w:space="0" w:color="auto"/>
          </w:divBdr>
        </w:div>
        <w:div w:id="1037975574">
          <w:marLeft w:val="0"/>
          <w:marRight w:val="0"/>
          <w:marTop w:val="0"/>
          <w:marBottom w:val="0"/>
          <w:divBdr>
            <w:top w:val="none" w:sz="0" w:space="0" w:color="auto"/>
            <w:left w:val="none" w:sz="0" w:space="0" w:color="auto"/>
            <w:bottom w:val="none" w:sz="0" w:space="0" w:color="auto"/>
            <w:right w:val="none" w:sz="0" w:space="0" w:color="auto"/>
          </w:divBdr>
        </w:div>
      </w:divsChild>
    </w:div>
    <w:div w:id="839125342">
      <w:bodyDiv w:val="1"/>
      <w:marLeft w:val="0"/>
      <w:marRight w:val="0"/>
      <w:marTop w:val="0"/>
      <w:marBottom w:val="0"/>
      <w:divBdr>
        <w:top w:val="none" w:sz="0" w:space="0" w:color="auto"/>
        <w:left w:val="none" w:sz="0" w:space="0" w:color="auto"/>
        <w:bottom w:val="none" w:sz="0" w:space="0" w:color="auto"/>
        <w:right w:val="none" w:sz="0" w:space="0" w:color="auto"/>
      </w:divBdr>
    </w:div>
    <w:div w:id="853886908">
      <w:bodyDiv w:val="1"/>
      <w:marLeft w:val="0"/>
      <w:marRight w:val="0"/>
      <w:marTop w:val="0"/>
      <w:marBottom w:val="0"/>
      <w:divBdr>
        <w:top w:val="none" w:sz="0" w:space="0" w:color="auto"/>
        <w:left w:val="none" w:sz="0" w:space="0" w:color="auto"/>
        <w:bottom w:val="none" w:sz="0" w:space="0" w:color="auto"/>
        <w:right w:val="none" w:sz="0" w:space="0" w:color="auto"/>
      </w:divBdr>
      <w:divsChild>
        <w:div w:id="1076199242">
          <w:marLeft w:val="0"/>
          <w:marRight w:val="0"/>
          <w:marTop w:val="0"/>
          <w:marBottom w:val="0"/>
          <w:divBdr>
            <w:top w:val="none" w:sz="0" w:space="0" w:color="auto"/>
            <w:left w:val="none" w:sz="0" w:space="0" w:color="auto"/>
            <w:bottom w:val="none" w:sz="0" w:space="0" w:color="auto"/>
            <w:right w:val="none" w:sz="0" w:space="0" w:color="auto"/>
          </w:divBdr>
        </w:div>
        <w:div w:id="1935672130">
          <w:marLeft w:val="0"/>
          <w:marRight w:val="0"/>
          <w:marTop w:val="0"/>
          <w:marBottom w:val="0"/>
          <w:divBdr>
            <w:top w:val="none" w:sz="0" w:space="0" w:color="auto"/>
            <w:left w:val="none" w:sz="0" w:space="0" w:color="auto"/>
            <w:bottom w:val="none" w:sz="0" w:space="0" w:color="auto"/>
            <w:right w:val="none" w:sz="0" w:space="0" w:color="auto"/>
          </w:divBdr>
        </w:div>
        <w:div w:id="210312902">
          <w:marLeft w:val="0"/>
          <w:marRight w:val="0"/>
          <w:marTop w:val="0"/>
          <w:marBottom w:val="0"/>
          <w:divBdr>
            <w:top w:val="none" w:sz="0" w:space="0" w:color="auto"/>
            <w:left w:val="none" w:sz="0" w:space="0" w:color="auto"/>
            <w:bottom w:val="none" w:sz="0" w:space="0" w:color="auto"/>
            <w:right w:val="none" w:sz="0" w:space="0" w:color="auto"/>
          </w:divBdr>
        </w:div>
        <w:div w:id="332418305">
          <w:marLeft w:val="0"/>
          <w:marRight w:val="0"/>
          <w:marTop w:val="0"/>
          <w:marBottom w:val="0"/>
          <w:divBdr>
            <w:top w:val="none" w:sz="0" w:space="0" w:color="auto"/>
            <w:left w:val="none" w:sz="0" w:space="0" w:color="auto"/>
            <w:bottom w:val="none" w:sz="0" w:space="0" w:color="auto"/>
            <w:right w:val="none" w:sz="0" w:space="0" w:color="auto"/>
          </w:divBdr>
        </w:div>
      </w:divsChild>
    </w:div>
    <w:div w:id="942344429">
      <w:bodyDiv w:val="1"/>
      <w:marLeft w:val="0"/>
      <w:marRight w:val="0"/>
      <w:marTop w:val="0"/>
      <w:marBottom w:val="0"/>
      <w:divBdr>
        <w:top w:val="none" w:sz="0" w:space="0" w:color="auto"/>
        <w:left w:val="none" w:sz="0" w:space="0" w:color="auto"/>
        <w:bottom w:val="none" w:sz="0" w:space="0" w:color="auto"/>
        <w:right w:val="none" w:sz="0" w:space="0" w:color="auto"/>
      </w:divBdr>
    </w:div>
    <w:div w:id="992685084">
      <w:bodyDiv w:val="1"/>
      <w:marLeft w:val="0"/>
      <w:marRight w:val="0"/>
      <w:marTop w:val="0"/>
      <w:marBottom w:val="0"/>
      <w:divBdr>
        <w:top w:val="none" w:sz="0" w:space="0" w:color="auto"/>
        <w:left w:val="none" w:sz="0" w:space="0" w:color="auto"/>
        <w:bottom w:val="none" w:sz="0" w:space="0" w:color="auto"/>
        <w:right w:val="none" w:sz="0" w:space="0" w:color="auto"/>
      </w:divBdr>
    </w:div>
    <w:div w:id="1076364695">
      <w:bodyDiv w:val="1"/>
      <w:marLeft w:val="0"/>
      <w:marRight w:val="0"/>
      <w:marTop w:val="0"/>
      <w:marBottom w:val="0"/>
      <w:divBdr>
        <w:top w:val="none" w:sz="0" w:space="0" w:color="auto"/>
        <w:left w:val="none" w:sz="0" w:space="0" w:color="auto"/>
        <w:bottom w:val="none" w:sz="0" w:space="0" w:color="auto"/>
        <w:right w:val="none" w:sz="0" w:space="0" w:color="auto"/>
      </w:divBdr>
    </w:div>
    <w:div w:id="1104375380">
      <w:bodyDiv w:val="1"/>
      <w:marLeft w:val="0"/>
      <w:marRight w:val="0"/>
      <w:marTop w:val="0"/>
      <w:marBottom w:val="0"/>
      <w:divBdr>
        <w:top w:val="none" w:sz="0" w:space="0" w:color="auto"/>
        <w:left w:val="none" w:sz="0" w:space="0" w:color="auto"/>
        <w:bottom w:val="none" w:sz="0" w:space="0" w:color="auto"/>
        <w:right w:val="none" w:sz="0" w:space="0" w:color="auto"/>
      </w:divBdr>
      <w:divsChild>
        <w:div w:id="1285238441">
          <w:marLeft w:val="0"/>
          <w:marRight w:val="0"/>
          <w:marTop w:val="0"/>
          <w:marBottom w:val="0"/>
          <w:divBdr>
            <w:top w:val="none" w:sz="0" w:space="0" w:color="auto"/>
            <w:left w:val="none" w:sz="0" w:space="0" w:color="auto"/>
            <w:bottom w:val="none" w:sz="0" w:space="0" w:color="auto"/>
            <w:right w:val="none" w:sz="0" w:space="0" w:color="auto"/>
          </w:divBdr>
        </w:div>
        <w:div w:id="802311902">
          <w:marLeft w:val="0"/>
          <w:marRight w:val="0"/>
          <w:marTop w:val="0"/>
          <w:marBottom w:val="0"/>
          <w:divBdr>
            <w:top w:val="none" w:sz="0" w:space="0" w:color="auto"/>
            <w:left w:val="none" w:sz="0" w:space="0" w:color="auto"/>
            <w:bottom w:val="none" w:sz="0" w:space="0" w:color="auto"/>
            <w:right w:val="none" w:sz="0" w:space="0" w:color="auto"/>
          </w:divBdr>
        </w:div>
      </w:divsChild>
    </w:div>
    <w:div w:id="1153982391">
      <w:bodyDiv w:val="1"/>
      <w:marLeft w:val="0"/>
      <w:marRight w:val="0"/>
      <w:marTop w:val="0"/>
      <w:marBottom w:val="0"/>
      <w:divBdr>
        <w:top w:val="none" w:sz="0" w:space="0" w:color="auto"/>
        <w:left w:val="none" w:sz="0" w:space="0" w:color="auto"/>
        <w:bottom w:val="none" w:sz="0" w:space="0" w:color="auto"/>
        <w:right w:val="none" w:sz="0" w:space="0" w:color="auto"/>
      </w:divBdr>
      <w:divsChild>
        <w:div w:id="819661309">
          <w:marLeft w:val="0"/>
          <w:marRight w:val="0"/>
          <w:marTop w:val="0"/>
          <w:marBottom w:val="0"/>
          <w:divBdr>
            <w:top w:val="none" w:sz="0" w:space="0" w:color="auto"/>
            <w:left w:val="none" w:sz="0" w:space="0" w:color="auto"/>
            <w:bottom w:val="none" w:sz="0" w:space="0" w:color="auto"/>
            <w:right w:val="none" w:sz="0" w:space="0" w:color="auto"/>
          </w:divBdr>
        </w:div>
        <w:div w:id="853224028">
          <w:marLeft w:val="0"/>
          <w:marRight w:val="0"/>
          <w:marTop w:val="0"/>
          <w:marBottom w:val="0"/>
          <w:divBdr>
            <w:top w:val="none" w:sz="0" w:space="0" w:color="auto"/>
            <w:left w:val="none" w:sz="0" w:space="0" w:color="auto"/>
            <w:bottom w:val="none" w:sz="0" w:space="0" w:color="auto"/>
            <w:right w:val="none" w:sz="0" w:space="0" w:color="auto"/>
          </w:divBdr>
        </w:div>
        <w:div w:id="234630639">
          <w:marLeft w:val="0"/>
          <w:marRight w:val="0"/>
          <w:marTop w:val="0"/>
          <w:marBottom w:val="0"/>
          <w:divBdr>
            <w:top w:val="none" w:sz="0" w:space="0" w:color="auto"/>
            <w:left w:val="none" w:sz="0" w:space="0" w:color="auto"/>
            <w:bottom w:val="none" w:sz="0" w:space="0" w:color="auto"/>
            <w:right w:val="none" w:sz="0" w:space="0" w:color="auto"/>
          </w:divBdr>
        </w:div>
      </w:divsChild>
    </w:div>
    <w:div w:id="1154830314">
      <w:bodyDiv w:val="1"/>
      <w:marLeft w:val="0"/>
      <w:marRight w:val="0"/>
      <w:marTop w:val="0"/>
      <w:marBottom w:val="0"/>
      <w:divBdr>
        <w:top w:val="none" w:sz="0" w:space="0" w:color="auto"/>
        <w:left w:val="none" w:sz="0" w:space="0" w:color="auto"/>
        <w:bottom w:val="none" w:sz="0" w:space="0" w:color="auto"/>
        <w:right w:val="none" w:sz="0" w:space="0" w:color="auto"/>
      </w:divBdr>
    </w:div>
    <w:div w:id="1257327764">
      <w:bodyDiv w:val="1"/>
      <w:marLeft w:val="0"/>
      <w:marRight w:val="0"/>
      <w:marTop w:val="0"/>
      <w:marBottom w:val="0"/>
      <w:divBdr>
        <w:top w:val="none" w:sz="0" w:space="0" w:color="auto"/>
        <w:left w:val="none" w:sz="0" w:space="0" w:color="auto"/>
        <w:bottom w:val="none" w:sz="0" w:space="0" w:color="auto"/>
        <w:right w:val="none" w:sz="0" w:space="0" w:color="auto"/>
      </w:divBdr>
    </w:div>
    <w:div w:id="1305815625">
      <w:bodyDiv w:val="1"/>
      <w:marLeft w:val="0"/>
      <w:marRight w:val="0"/>
      <w:marTop w:val="0"/>
      <w:marBottom w:val="0"/>
      <w:divBdr>
        <w:top w:val="none" w:sz="0" w:space="0" w:color="auto"/>
        <w:left w:val="none" w:sz="0" w:space="0" w:color="auto"/>
        <w:bottom w:val="none" w:sz="0" w:space="0" w:color="auto"/>
        <w:right w:val="none" w:sz="0" w:space="0" w:color="auto"/>
      </w:divBdr>
    </w:div>
    <w:div w:id="1312103765">
      <w:bodyDiv w:val="1"/>
      <w:marLeft w:val="0"/>
      <w:marRight w:val="0"/>
      <w:marTop w:val="0"/>
      <w:marBottom w:val="0"/>
      <w:divBdr>
        <w:top w:val="none" w:sz="0" w:space="0" w:color="auto"/>
        <w:left w:val="none" w:sz="0" w:space="0" w:color="auto"/>
        <w:bottom w:val="none" w:sz="0" w:space="0" w:color="auto"/>
        <w:right w:val="none" w:sz="0" w:space="0" w:color="auto"/>
      </w:divBdr>
    </w:div>
    <w:div w:id="1423408625">
      <w:bodyDiv w:val="1"/>
      <w:marLeft w:val="0"/>
      <w:marRight w:val="0"/>
      <w:marTop w:val="0"/>
      <w:marBottom w:val="0"/>
      <w:divBdr>
        <w:top w:val="none" w:sz="0" w:space="0" w:color="auto"/>
        <w:left w:val="none" w:sz="0" w:space="0" w:color="auto"/>
        <w:bottom w:val="none" w:sz="0" w:space="0" w:color="auto"/>
        <w:right w:val="none" w:sz="0" w:space="0" w:color="auto"/>
      </w:divBdr>
    </w:div>
    <w:div w:id="1591885688">
      <w:bodyDiv w:val="1"/>
      <w:marLeft w:val="0"/>
      <w:marRight w:val="0"/>
      <w:marTop w:val="0"/>
      <w:marBottom w:val="0"/>
      <w:divBdr>
        <w:top w:val="none" w:sz="0" w:space="0" w:color="auto"/>
        <w:left w:val="none" w:sz="0" w:space="0" w:color="auto"/>
        <w:bottom w:val="none" w:sz="0" w:space="0" w:color="auto"/>
        <w:right w:val="none" w:sz="0" w:space="0" w:color="auto"/>
      </w:divBdr>
    </w:div>
    <w:div w:id="1620599228">
      <w:bodyDiv w:val="1"/>
      <w:marLeft w:val="0"/>
      <w:marRight w:val="0"/>
      <w:marTop w:val="0"/>
      <w:marBottom w:val="0"/>
      <w:divBdr>
        <w:top w:val="none" w:sz="0" w:space="0" w:color="auto"/>
        <w:left w:val="none" w:sz="0" w:space="0" w:color="auto"/>
        <w:bottom w:val="none" w:sz="0" w:space="0" w:color="auto"/>
        <w:right w:val="none" w:sz="0" w:space="0" w:color="auto"/>
      </w:divBdr>
      <w:divsChild>
        <w:div w:id="1281455538">
          <w:marLeft w:val="0"/>
          <w:marRight w:val="0"/>
          <w:marTop w:val="0"/>
          <w:marBottom w:val="0"/>
          <w:divBdr>
            <w:top w:val="none" w:sz="0" w:space="0" w:color="auto"/>
            <w:left w:val="none" w:sz="0" w:space="0" w:color="auto"/>
            <w:bottom w:val="none" w:sz="0" w:space="0" w:color="auto"/>
            <w:right w:val="none" w:sz="0" w:space="0" w:color="auto"/>
          </w:divBdr>
          <w:divsChild>
            <w:div w:id="1674648673">
              <w:marLeft w:val="0"/>
              <w:marRight w:val="0"/>
              <w:marTop w:val="0"/>
              <w:marBottom w:val="0"/>
              <w:divBdr>
                <w:top w:val="none" w:sz="0" w:space="0" w:color="auto"/>
                <w:left w:val="none" w:sz="0" w:space="0" w:color="auto"/>
                <w:bottom w:val="none" w:sz="0" w:space="0" w:color="auto"/>
                <w:right w:val="none" w:sz="0" w:space="0" w:color="auto"/>
              </w:divBdr>
            </w:div>
          </w:divsChild>
        </w:div>
        <w:div w:id="1451124321">
          <w:marLeft w:val="0"/>
          <w:marRight w:val="0"/>
          <w:marTop w:val="0"/>
          <w:marBottom w:val="0"/>
          <w:divBdr>
            <w:top w:val="none" w:sz="0" w:space="0" w:color="auto"/>
            <w:left w:val="none" w:sz="0" w:space="0" w:color="auto"/>
            <w:bottom w:val="none" w:sz="0" w:space="0" w:color="auto"/>
            <w:right w:val="none" w:sz="0" w:space="0" w:color="auto"/>
          </w:divBdr>
          <w:divsChild>
            <w:div w:id="1738821593">
              <w:marLeft w:val="0"/>
              <w:marRight w:val="0"/>
              <w:marTop w:val="0"/>
              <w:marBottom w:val="0"/>
              <w:divBdr>
                <w:top w:val="none" w:sz="0" w:space="0" w:color="auto"/>
                <w:left w:val="none" w:sz="0" w:space="0" w:color="auto"/>
                <w:bottom w:val="none" w:sz="0" w:space="0" w:color="auto"/>
                <w:right w:val="none" w:sz="0" w:space="0" w:color="auto"/>
              </w:divBdr>
            </w:div>
          </w:divsChild>
        </w:div>
        <w:div w:id="1008023096">
          <w:marLeft w:val="0"/>
          <w:marRight w:val="0"/>
          <w:marTop w:val="0"/>
          <w:marBottom w:val="0"/>
          <w:divBdr>
            <w:top w:val="none" w:sz="0" w:space="0" w:color="auto"/>
            <w:left w:val="none" w:sz="0" w:space="0" w:color="auto"/>
            <w:bottom w:val="none" w:sz="0" w:space="0" w:color="auto"/>
            <w:right w:val="none" w:sz="0" w:space="0" w:color="auto"/>
          </w:divBdr>
          <w:divsChild>
            <w:div w:id="817039299">
              <w:marLeft w:val="0"/>
              <w:marRight w:val="0"/>
              <w:marTop w:val="0"/>
              <w:marBottom w:val="0"/>
              <w:divBdr>
                <w:top w:val="none" w:sz="0" w:space="0" w:color="auto"/>
                <w:left w:val="none" w:sz="0" w:space="0" w:color="auto"/>
                <w:bottom w:val="none" w:sz="0" w:space="0" w:color="auto"/>
                <w:right w:val="none" w:sz="0" w:space="0" w:color="auto"/>
              </w:divBdr>
            </w:div>
          </w:divsChild>
        </w:div>
        <w:div w:id="2105684269">
          <w:marLeft w:val="0"/>
          <w:marRight w:val="0"/>
          <w:marTop w:val="0"/>
          <w:marBottom w:val="0"/>
          <w:divBdr>
            <w:top w:val="none" w:sz="0" w:space="0" w:color="auto"/>
            <w:left w:val="none" w:sz="0" w:space="0" w:color="auto"/>
            <w:bottom w:val="none" w:sz="0" w:space="0" w:color="auto"/>
            <w:right w:val="none" w:sz="0" w:space="0" w:color="auto"/>
          </w:divBdr>
          <w:divsChild>
            <w:div w:id="308633513">
              <w:marLeft w:val="0"/>
              <w:marRight w:val="0"/>
              <w:marTop w:val="0"/>
              <w:marBottom w:val="0"/>
              <w:divBdr>
                <w:top w:val="none" w:sz="0" w:space="0" w:color="auto"/>
                <w:left w:val="none" w:sz="0" w:space="0" w:color="auto"/>
                <w:bottom w:val="none" w:sz="0" w:space="0" w:color="auto"/>
                <w:right w:val="none" w:sz="0" w:space="0" w:color="auto"/>
              </w:divBdr>
            </w:div>
          </w:divsChild>
        </w:div>
        <w:div w:id="1642341241">
          <w:marLeft w:val="0"/>
          <w:marRight w:val="0"/>
          <w:marTop w:val="0"/>
          <w:marBottom w:val="0"/>
          <w:divBdr>
            <w:top w:val="none" w:sz="0" w:space="0" w:color="auto"/>
            <w:left w:val="none" w:sz="0" w:space="0" w:color="auto"/>
            <w:bottom w:val="none" w:sz="0" w:space="0" w:color="auto"/>
            <w:right w:val="none" w:sz="0" w:space="0" w:color="auto"/>
          </w:divBdr>
          <w:divsChild>
            <w:div w:id="399253842">
              <w:marLeft w:val="0"/>
              <w:marRight w:val="0"/>
              <w:marTop w:val="0"/>
              <w:marBottom w:val="0"/>
              <w:divBdr>
                <w:top w:val="none" w:sz="0" w:space="0" w:color="auto"/>
                <w:left w:val="none" w:sz="0" w:space="0" w:color="auto"/>
                <w:bottom w:val="none" w:sz="0" w:space="0" w:color="auto"/>
                <w:right w:val="none" w:sz="0" w:space="0" w:color="auto"/>
              </w:divBdr>
            </w:div>
          </w:divsChild>
        </w:div>
        <w:div w:id="443425196">
          <w:marLeft w:val="0"/>
          <w:marRight w:val="0"/>
          <w:marTop w:val="0"/>
          <w:marBottom w:val="0"/>
          <w:divBdr>
            <w:top w:val="none" w:sz="0" w:space="0" w:color="auto"/>
            <w:left w:val="none" w:sz="0" w:space="0" w:color="auto"/>
            <w:bottom w:val="none" w:sz="0" w:space="0" w:color="auto"/>
            <w:right w:val="none" w:sz="0" w:space="0" w:color="auto"/>
          </w:divBdr>
          <w:divsChild>
            <w:div w:id="2080401212">
              <w:marLeft w:val="0"/>
              <w:marRight w:val="0"/>
              <w:marTop w:val="0"/>
              <w:marBottom w:val="0"/>
              <w:divBdr>
                <w:top w:val="none" w:sz="0" w:space="0" w:color="auto"/>
                <w:left w:val="none" w:sz="0" w:space="0" w:color="auto"/>
                <w:bottom w:val="none" w:sz="0" w:space="0" w:color="auto"/>
                <w:right w:val="none" w:sz="0" w:space="0" w:color="auto"/>
              </w:divBdr>
            </w:div>
          </w:divsChild>
        </w:div>
        <w:div w:id="781846130">
          <w:marLeft w:val="0"/>
          <w:marRight w:val="0"/>
          <w:marTop w:val="0"/>
          <w:marBottom w:val="0"/>
          <w:divBdr>
            <w:top w:val="none" w:sz="0" w:space="0" w:color="auto"/>
            <w:left w:val="none" w:sz="0" w:space="0" w:color="auto"/>
            <w:bottom w:val="none" w:sz="0" w:space="0" w:color="auto"/>
            <w:right w:val="none" w:sz="0" w:space="0" w:color="auto"/>
          </w:divBdr>
          <w:divsChild>
            <w:div w:id="1279988969">
              <w:marLeft w:val="0"/>
              <w:marRight w:val="0"/>
              <w:marTop w:val="0"/>
              <w:marBottom w:val="0"/>
              <w:divBdr>
                <w:top w:val="none" w:sz="0" w:space="0" w:color="auto"/>
                <w:left w:val="none" w:sz="0" w:space="0" w:color="auto"/>
                <w:bottom w:val="none" w:sz="0" w:space="0" w:color="auto"/>
                <w:right w:val="none" w:sz="0" w:space="0" w:color="auto"/>
              </w:divBdr>
            </w:div>
          </w:divsChild>
        </w:div>
        <w:div w:id="1476289984">
          <w:marLeft w:val="0"/>
          <w:marRight w:val="0"/>
          <w:marTop w:val="0"/>
          <w:marBottom w:val="0"/>
          <w:divBdr>
            <w:top w:val="none" w:sz="0" w:space="0" w:color="auto"/>
            <w:left w:val="none" w:sz="0" w:space="0" w:color="auto"/>
            <w:bottom w:val="none" w:sz="0" w:space="0" w:color="auto"/>
            <w:right w:val="none" w:sz="0" w:space="0" w:color="auto"/>
          </w:divBdr>
          <w:divsChild>
            <w:div w:id="1013066917">
              <w:marLeft w:val="0"/>
              <w:marRight w:val="0"/>
              <w:marTop w:val="0"/>
              <w:marBottom w:val="0"/>
              <w:divBdr>
                <w:top w:val="none" w:sz="0" w:space="0" w:color="auto"/>
                <w:left w:val="none" w:sz="0" w:space="0" w:color="auto"/>
                <w:bottom w:val="none" w:sz="0" w:space="0" w:color="auto"/>
                <w:right w:val="none" w:sz="0" w:space="0" w:color="auto"/>
              </w:divBdr>
            </w:div>
          </w:divsChild>
        </w:div>
        <w:div w:id="585696659">
          <w:marLeft w:val="0"/>
          <w:marRight w:val="0"/>
          <w:marTop w:val="0"/>
          <w:marBottom w:val="0"/>
          <w:divBdr>
            <w:top w:val="none" w:sz="0" w:space="0" w:color="auto"/>
            <w:left w:val="none" w:sz="0" w:space="0" w:color="auto"/>
            <w:bottom w:val="none" w:sz="0" w:space="0" w:color="auto"/>
            <w:right w:val="none" w:sz="0" w:space="0" w:color="auto"/>
          </w:divBdr>
          <w:divsChild>
            <w:div w:id="437287893">
              <w:marLeft w:val="0"/>
              <w:marRight w:val="0"/>
              <w:marTop w:val="0"/>
              <w:marBottom w:val="0"/>
              <w:divBdr>
                <w:top w:val="none" w:sz="0" w:space="0" w:color="auto"/>
                <w:left w:val="none" w:sz="0" w:space="0" w:color="auto"/>
                <w:bottom w:val="none" w:sz="0" w:space="0" w:color="auto"/>
                <w:right w:val="none" w:sz="0" w:space="0" w:color="auto"/>
              </w:divBdr>
            </w:div>
            <w:div w:id="1204755503">
              <w:marLeft w:val="0"/>
              <w:marRight w:val="0"/>
              <w:marTop w:val="0"/>
              <w:marBottom w:val="0"/>
              <w:divBdr>
                <w:top w:val="none" w:sz="0" w:space="0" w:color="auto"/>
                <w:left w:val="none" w:sz="0" w:space="0" w:color="auto"/>
                <w:bottom w:val="none" w:sz="0" w:space="0" w:color="auto"/>
                <w:right w:val="none" w:sz="0" w:space="0" w:color="auto"/>
              </w:divBdr>
            </w:div>
            <w:div w:id="1444493901">
              <w:marLeft w:val="0"/>
              <w:marRight w:val="0"/>
              <w:marTop w:val="0"/>
              <w:marBottom w:val="0"/>
              <w:divBdr>
                <w:top w:val="none" w:sz="0" w:space="0" w:color="auto"/>
                <w:left w:val="none" w:sz="0" w:space="0" w:color="auto"/>
                <w:bottom w:val="none" w:sz="0" w:space="0" w:color="auto"/>
                <w:right w:val="none" w:sz="0" w:space="0" w:color="auto"/>
              </w:divBdr>
            </w:div>
            <w:div w:id="1156922845">
              <w:marLeft w:val="0"/>
              <w:marRight w:val="0"/>
              <w:marTop w:val="0"/>
              <w:marBottom w:val="0"/>
              <w:divBdr>
                <w:top w:val="none" w:sz="0" w:space="0" w:color="auto"/>
                <w:left w:val="none" w:sz="0" w:space="0" w:color="auto"/>
                <w:bottom w:val="none" w:sz="0" w:space="0" w:color="auto"/>
                <w:right w:val="none" w:sz="0" w:space="0" w:color="auto"/>
              </w:divBdr>
            </w:div>
            <w:div w:id="1554344494">
              <w:marLeft w:val="0"/>
              <w:marRight w:val="0"/>
              <w:marTop w:val="0"/>
              <w:marBottom w:val="0"/>
              <w:divBdr>
                <w:top w:val="none" w:sz="0" w:space="0" w:color="auto"/>
                <w:left w:val="none" w:sz="0" w:space="0" w:color="auto"/>
                <w:bottom w:val="none" w:sz="0" w:space="0" w:color="auto"/>
                <w:right w:val="none" w:sz="0" w:space="0" w:color="auto"/>
              </w:divBdr>
            </w:div>
            <w:div w:id="454255300">
              <w:marLeft w:val="0"/>
              <w:marRight w:val="0"/>
              <w:marTop w:val="0"/>
              <w:marBottom w:val="0"/>
              <w:divBdr>
                <w:top w:val="none" w:sz="0" w:space="0" w:color="auto"/>
                <w:left w:val="none" w:sz="0" w:space="0" w:color="auto"/>
                <w:bottom w:val="none" w:sz="0" w:space="0" w:color="auto"/>
                <w:right w:val="none" w:sz="0" w:space="0" w:color="auto"/>
              </w:divBdr>
            </w:div>
            <w:div w:id="730350619">
              <w:marLeft w:val="0"/>
              <w:marRight w:val="0"/>
              <w:marTop w:val="0"/>
              <w:marBottom w:val="0"/>
              <w:divBdr>
                <w:top w:val="none" w:sz="0" w:space="0" w:color="auto"/>
                <w:left w:val="none" w:sz="0" w:space="0" w:color="auto"/>
                <w:bottom w:val="none" w:sz="0" w:space="0" w:color="auto"/>
                <w:right w:val="none" w:sz="0" w:space="0" w:color="auto"/>
              </w:divBdr>
            </w:div>
            <w:div w:id="1654946484">
              <w:marLeft w:val="0"/>
              <w:marRight w:val="0"/>
              <w:marTop w:val="0"/>
              <w:marBottom w:val="0"/>
              <w:divBdr>
                <w:top w:val="none" w:sz="0" w:space="0" w:color="auto"/>
                <w:left w:val="none" w:sz="0" w:space="0" w:color="auto"/>
                <w:bottom w:val="none" w:sz="0" w:space="0" w:color="auto"/>
                <w:right w:val="none" w:sz="0" w:space="0" w:color="auto"/>
              </w:divBdr>
            </w:div>
            <w:div w:id="2074041390">
              <w:marLeft w:val="0"/>
              <w:marRight w:val="0"/>
              <w:marTop w:val="0"/>
              <w:marBottom w:val="0"/>
              <w:divBdr>
                <w:top w:val="none" w:sz="0" w:space="0" w:color="auto"/>
                <w:left w:val="none" w:sz="0" w:space="0" w:color="auto"/>
                <w:bottom w:val="none" w:sz="0" w:space="0" w:color="auto"/>
                <w:right w:val="none" w:sz="0" w:space="0" w:color="auto"/>
              </w:divBdr>
            </w:div>
            <w:div w:id="37511345">
              <w:marLeft w:val="0"/>
              <w:marRight w:val="0"/>
              <w:marTop w:val="0"/>
              <w:marBottom w:val="0"/>
              <w:divBdr>
                <w:top w:val="none" w:sz="0" w:space="0" w:color="auto"/>
                <w:left w:val="none" w:sz="0" w:space="0" w:color="auto"/>
                <w:bottom w:val="none" w:sz="0" w:space="0" w:color="auto"/>
                <w:right w:val="none" w:sz="0" w:space="0" w:color="auto"/>
              </w:divBdr>
            </w:div>
            <w:div w:id="2066484170">
              <w:marLeft w:val="0"/>
              <w:marRight w:val="0"/>
              <w:marTop w:val="0"/>
              <w:marBottom w:val="0"/>
              <w:divBdr>
                <w:top w:val="none" w:sz="0" w:space="0" w:color="auto"/>
                <w:left w:val="none" w:sz="0" w:space="0" w:color="auto"/>
                <w:bottom w:val="none" w:sz="0" w:space="0" w:color="auto"/>
                <w:right w:val="none" w:sz="0" w:space="0" w:color="auto"/>
              </w:divBdr>
            </w:div>
            <w:div w:id="1342925225">
              <w:marLeft w:val="0"/>
              <w:marRight w:val="0"/>
              <w:marTop w:val="0"/>
              <w:marBottom w:val="0"/>
              <w:divBdr>
                <w:top w:val="none" w:sz="0" w:space="0" w:color="auto"/>
                <w:left w:val="none" w:sz="0" w:space="0" w:color="auto"/>
                <w:bottom w:val="none" w:sz="0" w:space="0" w:color="auto"/>
                <w:right w:val="none" w:sz="0" w:space="0" w:color="auto"/>
              </w:divBdr>
            </w:div>
            <w:div w:id="2792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54">
      <w:bodyDiv w:val="1"/>
      <w:marLeft w:val="0"/>
      <w:marRight w:val="0"/>
      <w:marTop w:val="0"/>
      <w:marBottom w:val="0"/>
      <w:divBdr>
        <w:top w:val="none" w:sz="0" w:space="0" w:color="auto"/>
        <w:left w:val="none" w:sz="0" w:space="0" w:color="auto"/>
        <w:bottom w:val="none" w:sz="0" w:space="0" w:color="auto"/>
        <w:right w:val="none" w:sz="0" w:space="0" w:color="auto"/>
      </w:divBdr>
    </w:div>
    <w:div w:id="1677607704">
      <w:bodyDiv w:val="1"/>
      <w:marLeft w:val="0"/>
      <w:marRight w:val="0"/>
      <w:marTop w:val="0"/>
      <w:marBottom w:val="0"/>
      <w:divBdr>
        <w:top w:val="none" w:sz="0" w:space="0" w:color="auto"/>
        <w:left w:val="none" w:sz="0" w:space="0" w:color="auto"/>
        <w:bottom w:val="none" w:sz="0" w:space="0" w:color="auto"/>
        <w:right w:val="none" w:sz="0" w:space="0" w:color="auto"/>
      </w:divBdr>
    </w:div>
    <w:div w:id="1824269301">
      <w:bodyDiv w:val="1"/>
      <w:marLeft w:val="0"/>
      <w:marRight w:val="0"/>
      <w:marTop w:val="0"/>
      <w:marBottom w:val="0"/>
      <w:divBdr>
        <w:top w:val="none" w:sz="0" w:space="0" w:color="auto"/>
        <w:left w:val="none" w:sz="0" w:space="0" w:color="auto"/>
        <w:bottom w:val="none" w:sz="0" w:space="0" w:color="auto"/>
        <w:right w:val="none" w:sz="0" w:space="0" w:color="auto"/>
      </w:divBdr>
    </w:div>
    <w:div w:id="1886675524">
      <w:bodyDiv w:val="1"/>
      <w:marLeft w:val="0"/>
      <w:marRight w:val="0"/>
      <w:marTop w:val="0"/>
      <w:marBottom w:val="0"/>
      <w:divBdr>
        <w:top w:val="none" w:sz="0" w:space="0" w:color="auto"/>
        <w:left w:val="none" w:sz="0" w:space="0" w:color="auto"/>
        <w:bottom w:val="none" w:sz="0" w:space="0" w:color="auto"/>
        <w:right w:val="none" w:sz="0" w:space="0" w:color="auto"/>
      </w:divBdr>
    </w:div>
    <w:div w:id="1999994206">
      <w:bodyDiv w:val="1"/>
      <w:marLeft w:val="0"/>
      <w:marRight w:val="0"/>
      <w:marTop w:val="0"/>
      <w:marBottom w:val="0"/>
      <w:divBdr>
        <w:top w:val="none" w:sz="0" w:space="0" w:color="auto"/>
        <w:left w:val="none" w:sz="0" w:space="0" w:color="auto"/>
        <w:bottom w:val="none" w:sz="0" w:space="0" w:color="auto"/>
        <w:right w:val="none" w:sz="0" w:space="0" w:color="auto"/>
      </w:divBdr>
      <w:divsChild>
        <w:div w:id="681319838">
          <w:marLeft w:val="0"/>
          <w:marRight w:val="0"/>
          <w:marTop w:val="0"/>
          <w:marBottom w:val="0"/>
          <w:divBdr>
            <w:top w:val="none" w:sz="0" w:space="0" w:color="auto"/>
            <w:left w:val="none" w:sz="0" w:space="0" w:color="auto"/>
            <w:bottom w:val="none" w:sz="0" w:space="0" w:color="auto"/>
            <w:right w:val="none" w:sz="0" w:space="0" w:color="auto"/>
          </w:divBdr>
        </w:div>
        <w:div w:id="1266352793">
          <w:marLeft w:val="0"/>
          <w:marRight w:val="0"/>
          <w:marTop w:val="0"/>
          <w:marBottom w:val="0"/>
          <w:divBdr>
            <w:top w:val="none" w:sz="0" w:space="0" w:color="auto"/>
            <w:left w:val="none" w:sz="0" w:space="0" w:color="auto"/>
            <w:bottom w:val="none" w:sz="0" w:space="0" w:color="auto"/>
            <w:right w:val="none" w:sz="0" w:space="0" w:color="auto"/>
          </w:divBdr>
        </w:div>
        <w:div w:id="606545537">
          <w:marLeft w:val="0"/>
          <w:marRight w:val="0"/>
          <w:marTop w:val="0"/>
          <w:marBottom w:val="0"/>
          <w:divBdr>
            <w:top w:val="none" w:sz="0" w:space="0" w:color="auto"/>
            <w:left w:val="none" w:sz="0" w:space="0" w:color="auto"/>
            <w:bottom w:val="none" w:sz="0" w:space="0" w:color="auto"/>
            <w:right w:val="none" w:sz="0" w:space="0" w:color="auto"/>
          </w:divBdr>
        </w:div>
        <w:div w:id="891817568">
          <w:marLeft w:val="0"/>
          <w:marRight w:val="0"/>
          <w:marTop w:val="0"/>
          <w:marBottom w:val="0"/>
          <w:divBdr>
            <w:top w:val="none" w:sz="0" w:space="0" w:color="auto"/>
            <w:left w:val="none" w:sz="0" w:space="0" w:color="auto"/>
            <w:bottom w:val="none" w:sz="0" w:space="0" w:color="auto"/>
            <w:right w:val="none" w:sz="0" w:space="0" w:color="auto"/>
          </w:divBdr>
        </w:div>
        <w:div w:id="311251673">
          <w:marLeft w:val="0"/>
          <w:marRight w:val="0"/>
          <w:marTop w:val="0"/>
          <w:marBottom w:val="0"/>
          <w:divBdr>
            <w:top w:val="none" w:sz="0" w:space="0" w:color="auto"/>
            <w:left w:val="none" w:sz="0" w:space="0" w:color="auto"/>
            <w:bottom w:val="none" w:sz="0" w:space="0" w:color="auto"/>
            <w:right w:val="none" w:sz="0" w:space="0" w:color="auto"/>
          </w:divBdr>
        </w:div>
      </w:divsChild>
    </w:div>
    <w:div w:id="2012641982">
      <w:bodyDiv w:val="1"/>
      <w:marLeft w:val="0"/>
      <w:marRight w:val="0"/>
      <w:marTop w:val="0"/>
      <w:marBottom w:val="0"/>
      <w:divBdr>
        <w:top w:val="none" w:sz="0" w:space="0" w:color="auto"/>
        <w:left w:val="none" w:sz="0" w:space="0" w:color="auto"/>
        <w:bottom w:val="none" w:sz="0" w:space="0" w:color="auto"/>
        <w:right w:val="none" w:sz="0" w:space="0" w:color="auto"/>
      </w:divBdr>
    </w:div>
    <w:div w:id="2042903019">
      <w:bodyDiv w:val="1"/>
      <w:marLeft w:val="0"/>
      <w:marRight w:val="0"/>
      <w:marTop w:val="0"/>
      <w:marBottom w:val="0"/>
      <w:divBdr>
        <w:top w:val="none" w:sz="0" w:space="0" w:color="auto"/>
        <w:left w:val="none" w:sz="0" w:space="0" w:color="auto"/>
        <w:bottom w:val="none" w:sz="0" w:space="0" w:color="auto"/>
        <w:right w:val="none" w:sz="0" w:space="0" w:color="auto"/>
      </w:divBdr>
    </w:div>
    <w:div w:id="2053186382">
      <w:bodyDiv w:val="1"/>
      <w:marLeft w:val="0"/>
      <w:marRight w:val="0"/>
      <w:marTop w:val="0"/>
      <w:marBottom w:val="0"/>
      <w:divBdr>
        <w:top w:val="none" w:sz="0" w:space="0" w:color="auto"/>
        <w:left w:val="none" w:sz="0" w:space="0" w:color="auto"/>
        <w:bottom w:val="none" w:sz="0" w:space="0" w:color="auto"/>
        <w:right w:val="none" w:sz="0" w:space="0" w:color="auto"/>
      </w:divBdr>
    </w:div>
    <w:div w:id="2071536330">
      <w:bodyDiv w:val="1"/>
      <w:marLeft w:val="0"/>
      <w:marRight w:val="0"/>
      <w:marTop w:val="0"/>
      <w:marBottom w:val="0"/>
      <w:divBdr>
        <w:top w:val="none" w:sz="0" w:space="0" w:color="auto"/>
        <w:left w:val="none" w:sz="0" w:space="0" w:color="auto"/>
        <w:bottom w:val="none" w:sz="0" w:space="0" w:color="auto"/>
        <w:right w:val="none" w:sz="0" w:space="0" w:color="auto"/>
      </w:divBdr>
      <w:divsChild>
        <w:div w:id="1915578483">
          <w:marLeft w:val="0"/>
          <w:marRight w:val="0"/>
          <w:marTop w:val="0"/>
          <w:marBottom w:val="0"/>
          <w:divBdr>
            <w:top w:val="none" w:sz="0" w:space="0" w:color="auto"/>
            <w:left w:val="none" w:sz="0" w:space="0" w:color="auto"/>
            <w:bottom w:val="none" w:sz="0" w:space="0" w:color="auto"/>
            <w:right w:val="none" w:sz="0" w:space="0" w:color="auto"/>
          </w:divBdr>
        </w:div>
        <w:div w:id="817500336">
          <w:marLeft w:val="0"/>
          <w:marRight w:val="0"/>
          <w:marTop w:val="0"/>
          <w:marBottom w:val="0"/>
          <w:divBdr>
            <w:top w:val="none" w:sz="0" w:space="0" w:color="auto"/>
            <w:left w:val="none" w:sz="0" w:space="0" w:color="auto"/>
            <w:bottom w:val="none" w:sz="0" w:space="0" w:color="auto"/>
            <w:right w:val="none" w:sz="0" w:space="0" w:color="auto"/>
          </w:divBdr>
        </w:div>
        <w:div w:id="70444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tgaz-deutschland.de/media/euzlpgsv/price-list-2025.pdf" TargetMode="External"/><Relationship Id="rId18" Type="http://schemas.openxmlformats.org/officeDocument/2006/relationships/hyperlink" Target="https://grtgaz-deutschland.de/media/euzlpgsv/price-list-2025.pdf" TargetMode="External"/><Relationship Id="rId26" Type="http://schemas.openxmlformats.org/officeDocument/2006/relationships/hyperlink" Target="https://www.bundesnetzagentur.de/DE/Beschlusskammern/1_GZ/BK9-GZ/2019/2019_bis0999/BK9-19-607_BK9-19-610_BK9-19-612/download/BK9-19-0610_Beschluss_EN_download_BF.pdf?__blob=publicationFile&amp;v=3" TargetMode="External"/><Relationship Id="rId3" Type="http://schemas.openxmlformats.org/officeDocument/2006/relationships/customXml" Target="../customXml/item3.xml"/><Relationship Id="rId21" Type="http://schemas.openxmlformats.org/officeDocument/2006/relationships/hyperlink" Target="https://grtgaz-deutschland.de/media/gntpwvft/anlage-zur-vereinfachten-entgeltberechnung.xlsx" TargetMode="External"/><Relationship Id="rId7" Type="http://schemas.openxmlformats.org/officeDocument/2006/relationships/settings" Target="settings.xml"/><Relationship Id="rId12" Type="http://schemas.openxmlformats.org/officeDocument/2006/relationships/hyperlink" Target="https://www.bundesnetzagentur.de/DE/Beschlusskammern/1_GZ/BK9-GZ/2023/2023_bis0999/BK9-23-0612/Downloads&amp;Stellungnahmen/BK9-23-0612_Festlegung_Beschluss_DL_BF.pdf?__blob=publicationFile&amp;v=4" TargetMode="External"/><Relationship Id="rId17" Type="http://schemas.openxmlformats.org/officeDocument/2006/relationships/hyperlink" Target="https://www.bundesnetzagentur.de/DE/Beschlusskammern/1_GZ/BK9-GZ/2020/2020_bis0999/BK9-20-0608/BK9-20-0608_Beschluss_Download_BF.pdf?__blob=publicationFile&amp;v=1" TargetMode="External"/><Relationship Id="rId25" Type="http://schemas.openxmlformats.org/officeDocument/2006/relationships/hyperlink" Target="https://www.bundesnetzagentur.de/DE/Beschlusskammern/1_GZ/BK9-GZ/2019/2019_bis0999/BK9-19-607_BK9-19-610_BK9-19-612/download/BK9-19-0610_Beschluss_EN_download_BF.pdf?__blob=publicationFile&amp;v=3" TargetMode="External"/><Relationship Id="rId2" Type="http://schemas.openxmlformats.org/officeDocument/2006/relationships/customXml" Target="../customXml/item2.xml"/><Relationship Id="rId16" Type="http://schemas.openxmlformats.org/officeDocument/2006/relationships/hyperlink" Target="https://www.bundesnetzagentur.de/DE/Beschlusskammern/1_GZ/BK9-GZ/2023/2023_bis0999/BK9-23-0612/Downloads&amp;Stellungnahmen/BK9-23-0612_Festlegung_Beschluss_DL_BF.pdf?__blob=publicationFile&amp;v=4" TargetMode="External"/><Relationship Id="rId20" Type="http://schemas.openxmlformats.org/officeDocument/2006/relationships/hyperlink" Target="https://www.bundesnetzagentur.de/DE/Beschlusskammern/1_GZ/BK9-GZ/2020/2020_bis0999/BK9-20-0608/BK9-20-0608_Beschluss_Download_BF.pdf?__blob=publicationFile&amp;v=1" TargetMode="External"/><Relationship Id="rId29" Type="http://schemas.openxmlformats.org/officeDocument/2006/relationships/hyperlink" Target="https://grtgaz-deutschland.de/media/gntpwvft/anlage-zur-vereinfachten-entgeltberechnung.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tgaz-deutschland.de/media/xpolwpqy/preisblatt-f%C3%BCr-das-kalendarjahr-2025.pdf" TargetMode="External"/><Relationship Id="rId24" Type="http://schemas.openxmlformats.org/officeDocument/2006/relationships/hyperlink" Target="https://www.bundesnetzagentur.de/DE/Beschlusskammern/1_GZ/BK9-GZ/2019/2019_bis0999/BK9-19-607_BK9-19-610_BK9-19-612/download/BK9-19-0610_Beschluss_EN_download_BF.pdf?__blob=publicationFile&amp;v=3" TargetMode="External"/><Relationship Id="rId5" Type="http://schemas.openxmlformats.org/officeDocument/2006/relationships/numbering" Target="numbering.xml"/><Relationship Id="rId15" Type="http://schemas.openxmlformats.org/officeDocument/2006/relationships/hyperlink" Target="https://grtgaz-deutschland.de/media/xpolwpqy/preisblatt-f%C3%BCr-das-kalendarjahr-2025.pdf" TargetMode="External"/><Relationship Id="rId23" Type="http://schemas.openxmlformats.org/officeDocument/2006/relationships/hyperlink" Target="https://www.bundesnetzagentur.de/DE/Beschlusskammern/1_GZ/BK9-GZ/2019/2019_bis0999/BK9-19-607_BK9-19-610_BK9-19-612/BK9-19-0610_Beschluss_download_BF.pdf?__blob=publicationFile&amp;v=4" TargetMode="External"/><Relationship Id="rId28" Type="http://schemas.openxmlformats.org/officeDocument/2006/relationships/hyperlink" Target="https://view.officeapps.live.com/op/view.aspx?src=https%3A%2F%2Fgrtgaz-deutschland.de%2Fmedia%2F1s0ecw5h%2F2024-12-02_annex-to-publication-according-to-art-30-nc-tar.xlsx&amp;wdOrigin=BROWSELINK" TargetMode="External"/><Relationship Id="rId10" Type="http://schemas.openxmlformats.org/officeDocument/2006/relationships/endnotes" Target="endnotes.xml"/><Relationship Id="rId19" Type="http://schemas.openxmlformats.org/officeDocument/2006/relationships/hyperlink" Target="https://www.bundesnetzagentur.de/DE/Beschlusskammern/1_GZ/BK9-GZ/2023/2023_bis0999/BK9-23-0612/Downloads&amp;Stellungnahmen/BK9-23-0612_Festlegung_Beschluss_EN_DL_BF.pdf?__blob=publicationFile&amp;v=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ndesnetzagentur.de/DE/Beschlusskammern/1_GZ/BK9-GZ/2023/2023_bis0999/BK9-23-0612/Downloads&amp;Stellungnahmen/BK9-23-0612_Festlegung_Beschluss_EN_DL_BF.pdf?__blob=publicationFile&amp;v=2" TargetMode="External"/><Relationship Id="rId22" Type="http://schemas.openxmlformats.org/officeDocument/2006/relationships/hyperlink" Target="https://grtgaz-deutschland.de/media/gntpwvft/anlage-zur-vereinfachten-entgeltberechnung.xlsx" TargetMode="External"/><Relationship Id="rId27" Type="http://schemas.openxmlformats.org/officeDocument/2006/relationships/hyperlink" Target="https://www.bundesnetzagentur.de/DE/Beschlusskammern/1_GZ/BK9-GZ/2019/2019_bis0999/BK9-19-607_BK9-19-610_BK9-19-612/download/BK9-19-0610_Beschluss_EN_download_BF.pdf?__blob=publicationFile&amp;v=3"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fbd6f5-3817-4eaf-b700-26d33840eafd">
      <UserInfo>
        <DisplayName>Juliette Barre</DisplayName>
        <AccountId>828</AccountId>
        <AccountType/>
      </UserInfo>
    </SharedWithUsers>
    <lcf76f155ced4ddcb4097134ff3c332f xmlns="a62f3238-260b-44d4-8a96-03be141e4ef3">
      <Terms xmlns="http://schemas.microsoft.com/office/infopath/2007/PartnerControls"/>
    </lcf76f155ced4ddcb4097134ff3c332f>
    <TaxCatchAll xmlns="3ffbd6f5-3817-4eaf-b700-26d33840eaf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181E10E3300C4F977802CDD4A21B5F" ma:contentTypeVersion="17" ma:contentTypeDescription="Ein neues Dokument erstellen." ma:contentTypeScope="" ma:versionID="e506c1316cd6b13d4c7f49ef8be10bfd">
  <xsd:schema xmlns:xsd="http://www.w3.org/2001/XMLSchema" xmlns:xs="http://www.w3.org/2001/XMLSchema" xmlns:p="http://schemas.microsoft.com/office/2006/metadata/properties" xmlns:ns2="a62f3238-260b-44d4-8a96-03be141e4ef3" xmlns:ns3="3ffbd6f5-3817-4eaf-b700-26d33840eafd" targetNamespace="http://schemas.microsoft.com/office/2006/metadata/properties" ma:root="true" ma:fieldsID="6a87ca00d253e7701edc5c3318693bda" ns2:_="" ns3:_="">
    <xsd:import namespace="a62f3238-260b-44d4-8a96-03be141e4ef3"/>
    <xsd:import namespace="3ffbd6f5-3817-4eaf-b700-26d33840ea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f3238-260b-44d4-8a96-03be141e4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e92724-0fd3-47b3-a29f-7eda9daaa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fbd6f5-3817-4eaf-b700-26d33840eaf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aa2754e-afc2-48cc-8f35-459d9b238853}" ma:internalName="TaxCatchAll" ma:showField="CatchAllData" ma:web="3ffbd6f5-3817-4eaf-b700-26d33840e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BB05-7B1F-410B-B6F8-C0F8AE892A10}">
  <ds:schemaRefs>
    <ds:schemaRef ds:uri="http://schemas.microsoft.com/office/2006/metadata/properties"/>
    <ds:schemaRef ds:uri="http://schemas.microsoft.com/office/infopath/2007/PartnerControls"/>
    <ds:schemaRef ds:uri="3ffbd6f5-3817-4eaf-b700-26d33840eafd"/>
    <ds:schemaRef ds:uri="a62f3238-260b-44d4-8a96-03be141e4ef3"/>
  </ds:schemaRefs>
</ds:datastoreItem>
</file>

<file path=customXml/itemProps2.xml><?xml version="1.0" encoding="utf-8"?>
<ds:datastoreItem xmlns:ds="http://schemas.openxmlformats.org/officeDocument/2006/customXml" ds:itemID="{50BE5DEB-893E-4191-A9EC-1B4A1333F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f3238-260b-44d4-8a96-03be141e4ef3"/>
    <ds:schemaRef ds:uri="3ffbd6f5-3817-4eaf-b700-26d33840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2DDB6-7BF6-4B68-9204-CF885B89A4F3}">
  <ds:schemaRefs>
    <ds:schemaRef ds:uri="http://schemas.microsoft.com/sharepoint/v3/contenttype/forms"/>
  </ds:schemaRefs>
</ds:datastoreItem>
</file>

<file path=customXml/itemProps4.xml><?xml version="1.0" encoding="utf-8"?>
<ds:datastoreItem xmlns:ds="http://schemas.openxmlformats.org/officeDocument/2006/customXml" ds:itemID="{23C27523-63B4-47C3-9E06-3C671020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4853</Words>
  <Characters>30581</Characters>
  <Application>Microsoft Office Word</Application>
  <DocSecurity>0</DocSecurity>
  <Lines>254</Lines>
  <Paragraphs>70</Paragraphs>
  <ScaleCrop>false</ScaleCrop>
  <Company/>
  <LinksUpToDate>false</LinksUpToDate>
  <CharactersWithSpaces>35364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Dörfler</dc:creator>
  <cp:keywords/>
  <dc:description/>
  <cp:lastModifiedBy>Gabriel Reungoat</cp:lastModifiedBy>
  <cp:revision>40</cp:revision>
  <cp:lastPrinted>2021-12-02T16:19:00Z</cp:lastPrinted>
  <dcterms:created xsi:type="dcterms:W3CDTF">2024-11-29T10:31:00Z</dcterms:created>
  <dcterms:modified xsi:type="dcterms:W3CDTF">2024-11-29T13:00:00Z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0x0101001F181E10E3300C4F977802CDD4A21B5F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